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A2313" w14:textId="77777777" w:rsidR="000A1AEA" w:rsidRPr="000A1AEA" w:rsidRDefault="000A1AEA" w:rsidP="000A1AEA">
      <w:pPr>
        <w:spacing w:after="0" w:line="240" w:lineRule="auto"/>
        <w:jc w:val="center"/>
        <w:rPr>
          <w:rFonts w:cs="Arial"/>
          <w:b/>
          <w:bCs/>
          <w:sz w:val="20"/>
          <w:szCs w:val="20"/>
        </w:rPr>
      </w:pPr>
      <w:r w:rsidRPr="000A1AEA">
        <w:rPr>
          <w:rFonts w:cs="Arial"/>
          <w:b/>
          <w:bCs/>
          <w:sz w:val="20"/>
          <w:szCs w:val="20"/>
        </w:rPr>
        <w:t>COMMENTS ON THE REQUEST FOR INFORMATION</w:t>
      </w:r>
    </w:p>
    <w:p w14:paraId="6EBF29D6" w14:textId="77777777" w:rsidR="000A1AEA" w:rsidRDefault="000A1AEA" w:rsidP="000A1AEA">
      <w:pPr>
        <w:spacing w:after="0" w:line="240" w:lineRule="auto"/>
        <w:jc w:val="both"/>
        <w:rPr>
          <w:rFonts w:cs="Arial"/>
          <w:b/>
          <w:bCs/>
          <w:sz w:val="20"/>
          <w:szCs w:val="20"/>
        </w:rPr>
      </w:pPr>
    </w:p>
    <w:p w14:paraId="04A070B4" w14:textId="1262AE23" w:rsidR="000A1AEA" w:rsidRPr="000A1AEA" w:rsidRDefault="000A1AEA" w:rsidP="000A1AEA">
      <w:pPr>
        <w:spacing w:after="0" w:line="240" w:lineRule="auto"/>
        <w:jc w:val="both"/>
        <w:rPr>
          <w:rFonts w:cs="Arial"/>
          <w:b/>
          <w:bCs/>
          <w:sz w:val="20"/>
          <w:szCs w:val="20"/>
        </w:rPr>
      </w:pPr>
      <w:r w:rsidRPr="000A1AEA">
        <w:rPr>
          <w:rFonts w:cs="Arial"/>
          <w:b/>
          <w:bCs/>
          <w:sz w:val="20"/>
          <w:szCs w:val="20"/>
        </w:rPr>
        <w:t>POST-IMPLEMENTATION REVIEW OF IFRS 9 AND IFRS 7</w:t>
      </w:r>
    </w:p>
    <w:p w14:paraId="563361F1" w14:textId="77777777" w:rsidR="000A1AEA" w:rsidRDefault="000A1AEA" w:rsidP="000A1AEA">
      <w:pPr>
        <w:spacing w:after="0" w:line="240" w:lineRule="auto"/>
        <w:jc w:val="both"/>
        <w:rPr>
          <w:rFonts w:cs="Arial"/>
          <w:b/>
          <w:bCs/>
          <w:sz w:val="20"/>
          <w:szCs w:val="20"/>
        </w:rPr>
      </w:pPr>
    </w:p>
    <w:p w14:paraId="1A1067A9" w14:textId="36B4EEA1" w:rsidR="000A1AEA" w:rsidRPr="000A1AEA" w:rsidRDefault="000A1AEA" w:rsidP="000A1AEA">
      <w:pPr>
        <w:spacing w:after="0" w:line="240" w:lineRule="auto"/>
        <w:jc w:val="both"/>
        <w:rPr>
          <w:rFonts w:cs="Arial"/>
          <w:b/>
          <w:bCs/>
          <w:sz w:val="20"/>
          <w:szCs w:val="20"/>
        </w:rPr>
      </w:pPr>
      <w:r w:rsidRPr="000A1AEA">
        <w:rPr>
          <w:rFonts w:cs="Arial"/>
          <w:b/>
          <w:bCs/>
          <w:sz w:val="20"/>
          <w:szCs w:val="20"/>
        </w:rPr>
        <w:t>HEDGE ACCOUNTING REQUIREMENTS</w:t>
      </w:r>
    </w:p>
    <w:p w14:paraId="3C0257D2" w14:textId="77777777" w:rsidR="000A1AEA" w:rsidRDefault="000A1AEA" w:rsidP="000A1AEA">
      <w:pPr>
        <w:spacing w:after="0" w:line="240" w:lineRule="auto"/>
        <w:jc w:val="both"/>
        <w:rPr>
          <w:rFonts w:cs="Arial"/>
          <w:b/>
          <w:bCs/>
          <w:sz w:val="20"/>
          <w:szCs w:val="20"/>
        </w:rPr>
      </w:pPr>
    </w:p>
    <w:p w14:paraId="02656FB4" w14:textId="0C413106" w:rsidR="000A1AEA" w:rsidRDefault="000A1AEA" w:rsidP="000A1AEA">
      <w:pPr>
        <w:spacing w:after="0" w:line="240" w:lineRule="auto"/>
        <w:jc w:val="both"/>
        <w:rPr>
          <w:rFonts w:cs="Arial"/>
          <w:b/>
          <w:bCs/>
          <w:sz w:val="20"/>
          <w:szCs w:val="20"/>
        </w:rPr>
      </w:pPr>
      <w:r w:rsidRPr="000A1AEA">
        <w:rPr>
          <w:rFonts w:cs="Arial"/>
          <w:b/>
          <w:bCs/>
          <w:sz w:val="20"/>
          <w:szCs w:val="20"/>
        </w:rPr>
        <w:t>Background</w:t>
      </w:r>
    </w:p>
    <w:p w14:paraId="5CACFD82" w14:textId="77777777" w:rsidR="008C74A4" w:rsidRPr="000A1AEA" w:rsidRDefault="008C74A4" w:rsidP="000A1AEA">
      <w:pPr>
        <w:spacing w:after="0" w:line="240" w:lineRule="auto"/>
        <w:jc w:val="both"/>
        <w:rPr>
          <w:rFonts w:cs="Arial"/>
          <w:b/>
          <w:bCs/>
          <w:sz w:val="20"/>
          <w:szCs w:val="20"/>
        </w:rPr>
      </w:pPr>
    </w:p>
    <w:p w14:paraId="087AED70" w14:textId="0B1B2171" w:rsidR="000A1AEA" w:rsidRDefault="008C74A4" w:rsidP="000A1AEA">
      <w:pPr>
        <w:spacing w:after="0" w:line="240" w:lineRule="auto"/>
        <w:jc w:val="both"/>
        <w:rPr>
          <w:rFonts w:cs="Arial"/>
          <w:sz w:val="20"/>
          <w:szCs w:val="20"/>
        </w:rPr>
      </w:pPr>
      <w:r>
        <w:rPr>
          <w:rFonts w:cs="Arial"/>
          <w:sz w:val="20"/>
          <w:szCs w:val="20"/>
        </w:rPr>
        <w:t xml:space="preserve">I </w:t>
      </w:r>
      <w:r w:rsidR="000A1AEA" w:rsidRPr="000A1AEA">
        <w:rPr>
          <w:rFonts w:cs="Arial"/>
          <w:sz w:val="20"/>
          <w:szCs w:val="20"/>
        </w:rPr>
        <w:t>welcome the opportunity to provide comments on the Request for Information issued by the International Accounting Standards Board in relation to the post-implementation review of the hedge accounting requirements in IFRS 9 and the related disclosure requirements in IFRS 7.</w:t>
      </w:r>
    </w:p>
    <w:p w14:paraId="4E63486E" w14:textId="77777777" w:rsidR="000A1AEA" w:rsidRPr="000A1AEA" w:rsidRDefault="000A1AEA" w:rsidP="000A1AEA">
      <w:pPr>
        <w:spacing w:after="0" w:line="240" w:lineRule="auto"/>
        <w:jc w:val="both"/>
        <w:rPr>
          <w:rFonts w:cs="Arial"/>
          <w:sz w:val="20"/>
          <w:szCs w:val="20"/>
        </w:rPr>
      </w:pPr>
    </w:p>
    <w:p w14:paraId="6EF39922" w14:textId="6C917F49" w:rsidR="000A1AEA" w:rsidRDefault="008C74A4" w:rsidP="000A1AEA">
      <w:pPr>
        <w:spacing w:after="0" w:line="240" w:lineRule="auto"/>
        <w:jc w:val="both"/>
        <w:rPr>
          <w:rFonts w:cs="Arial"/>
          <w:sz w:val="20"/>
          <w:szCs w:val="20"/>
        </w:rPr>
      </w:pPr>
      <w:r>
        <w:rPr>
          <w:rFonts w:cs="Arial"/>
          <w:sz w:val="20"/>
          <w:szCs w:val="20"/>
        </w:rPr>
        <w:t xml:space="preserve">My </w:t>
      </w:r>
      <w:r w:rsidR="000A1AEA" w:rsidRPr="000A1AEA">
        <w:rPr>
          <w:rFonts w:cs="Arial"/>
          <w:sz w:val="20"/>
          <w:szCs w:val="20"/>
        </w:rPr>
        <w:t>comments are based on practical considerations arising in the application and audit of hedge accounting requirements, particularly for non-financial entities operating in sectors involving foreign currency exposures, commodity price risks, interest rate risks, imports, exports, infrastructure projects, manufacturing activities and long-term contractual arrangements.</w:t>
      </w:r>
    </w:p>
    <w:p w14:paraId="5E3122CB" w14:textId="77777777" w:rsidR="000A1AEA" w:rsidRPr="000A1AEA" w:rsidRDefault="000A1AEA" w:rsidP="000A1AEA">
      <w:pPr>
        <w:spacing w:after="0" w:line="240" w:lineRule="auto"/>
        <w:jc w:val="both"/>
        <w:rPr>
          <w:rFonts w:cs="Arial"/>
          <w:sz w:val="20"/>
          <w:szCs w:val="20"/>
        </w:rPr>
      </w:pPr>
    </w:p>
    <w:p w14:paraId="1246AE12" w14:textId="3B49FC51" w:rsidR="000A1AEA" w:rsidRPr="000A1AEA" w:rsidRDefault="000A1AEA" w:rsidP="000A1AEA">
      <w:pPr>
        <w:spacing w:after="0" w:line="240" w:lineRule="auto"/>
        <w:jc w:val="both"/>
        <w:rPr>
          <w:rFonts w:cs="Arial"/>
          <w:sz w:val="20"/>
          <w:szCs w:val="20"/>
        </w:rPr>
      </w:pPr>
      <w:r w:rsidRPr="000A1AEA">
        <w:rPr>
          <w:rFonts w:cs="Arial"/>
          <w:sz w:val="20"/>
          <w:szCs w:val="20"/>
        </w:rPr>
        <w:t xml:space="preserve">Overall, </w:t>
      </w:r>
      <w:r w:rsidR="008C74A4">
        <w:rPr>
          <w:rFonts w:cs="Arial"/>
          <w:sz w:val="20"/>
          <w:szCs w:val="20"/>
        </w:rPr>
        <w:t xml:space="preserve">I </w:t>
      </w:r>
      <w:r w:rsidRPr="000A1AEA">
        <w:rPr>
          <w:rFonts w:cs="Arial"/>
          <w:sz w:val="20"/>
          <w:szCs w:val="20"/>
        </w:rPr>
        <w:t>believe that IFRS 9 has improved the alignment between hedge accounting and an entity’s actual risk management activities. The move away from the rule-based effectiveness threshold under IAS 39 was a meaningful improvement. However, the expected reduction in the cost and complexity of hedge accounting has not been fully realised in practice. Significant judgement, valuation effort, documentation and system support continue to be required, particularly in relation to forecast transactions, cost of hedging, rebalancing and basis adjustments.</w:t>
      </w:r>
    </w:p>
    <w:p w14:paraId="7EB2F011" w14:textId="77777777" w:rsidR="000A1AEA" w:rsidRDefault="000A1AEA" w:rsidP="000A1AEA">
      <w:pPr>
        <w:spacing w:after="0" w:line="240" w:lineRule="auto"/>
        <w:jc w:val="both"/>
        <w:rPr>
          <w:rFonts w:cs="Arial"/>
          <w:sz w:val="20"/>
          <w:szCs w:val="20"/>
        </w:rPr>
      </w:pPr>
    </w:p>
    <w:p w14:paraId="3C90B57E" w14:textId="692D00F4" w:rsidR="000A1AEA" w:rsidRPr="000A1AEA" w:rsidRDefault="008C74A4" w:rsidP="000A1AEA">
      <w:pPr>
        <w:spacing w:after="0" w:line="240" w:lineRule="auto"/>
        <w:jc w:val="both"/>
        <w:rPr>
          <w:rFonts w:cs="Arial"/>
          <w:sz w:val="20"/>
          <w:szCs w:val="20"/>
        </w:rPr>
      </w:pPr>
      <w:r>
        <w:rPr>
          <w:rFonts w:cs="Arial"/>
          <w:sz w:val="20"/>
          <w:szCs w:val="20"/>
        </w:rPr>
        <w:t xml:space="preserve">My </w:t>
      </w:r>
      <w:r w:rsidR="000A1AEA" w:rsidRPr="000A1AEA">
        <w:rPr>
          <w:rFonts w:cs="Arial"/>
          <w:sz w:val="20"/>
          <w:szCs w:val="20"/>
        </w:rPr>
        <w:t>detailed comments are set out below.</w:t>
      </w:r>
    </w:p>
    <w:p w14:paraId="62B95842" w14:textId="77777777" w:rsidR="000A1AEA" w:rsidRDefault="000A1AEA" w:rsidP="000A1AEA">
      <w:pPr>
        <w:spacing w:after="0" w:line="240" w:lineRule="auto"/>
        <w:jc w:val="both"/>
        <w:rPr>
          <w:rFonts w:cs="Arial"/>
          <w:b/>
          <w:bCs/>
          <w:sz w:val="20"/>
          <w:szCs w:val="20"/>
        </w:rPr>
      </w:pPr>
    </w:p>
    <w:p w14:paraId="170EA2D8" w14:textId="31B0B26A" w:rsidR="000A1AEA" w:rsidRPr="000A1AEA" w:rsidRDefault="000A1AEA" w:rsidP="000A1AEA">
      <w:pPr>
        <w:spacing w:after="0" w:line="240" w:lineRule="auto"/>
        <w:jc w:val="both"/>
        <w:rPr>
          <w:rFonts w:cs="Arial"/>
          <w:b/>
          <w:bCs/>
          <w:sz w:val="20"/>
          <w:szCs w:val="20"/>
        </w:rPr>
      </w:pPr>
      <w:r w:rsidRPr="000A1AEA">
        <w:rPr>
          <w:rFonts w:cs="Arial"/>
          <w:b/>
          <w:bCs/>
          <w:sz w:val="20"/>
          <w:szCs w:val="20"/>
        </w:rPr>
        <w:t>QUESTION 1</w:t>
      </w:r>
    </w:p>
    <w:p w14:paraId="57A6DA4F" w14:textId="77777777" w:rsidR="000A1AEA" w:rsidRDefault="000A1AEA" w:rsidP="000A1AEA">
      <w:pPr>
        <w:spacing w:after="0" w:line="240" w:lineRule="auto"/>
        <w:jc w:val="both"/>
        <w:rPr>
          <w:rFonts w:cs="Arial"/>
          <w:b/>
          <w:bCs/>
          <w:sz w:val="20"/>
          <w:szCs w:val="20"/>
        </w:rPr>
      </w:pPr>
    </w:p>
    <w:p w14:paraId="2789EC9F" w14:textId="7B7BCE50" w:rsidR="000A1AEA" w:rsidRPr="000A1AEA" w:rsidRDefault="000A1AEA" w:rsidP="000A1AEA">
      <w:pPr>
        <w:spacing w:after="0" w:line="240" w:lineRule="auto"/>
        <w:jc w:val="both"/>
        <w:rPr>
          <w:rFonts w:cs="Arial"/>
          <w:b/>
          <w:bCs/>
          <w:sz w:val="20"/>
          <w:szCs w:val="20"/>
        </w:rPr>
      </w:pPr>
      <w:r w:rsidRPr="000A1AEA">
        <w:rPr>
          <w:rFonts w:cs="Arial"/>
          <w:b/>
          <w:bCs/>
          <w:sz w:val="20"/>
          <w:szCs w:val="20"/>
        </w:rPr>
        <w:t>Overall Assessment of the Hedge Accounting Requirements in IFRS 9</w:t>
      </w:r>
    </w:p>
    <w:p w14:paraId="436362DC" w14:textId="77777777" w:rsidR="000A1AEA" w:rsidRDefault="000A1AEA" w:rsidP="000A1AEA">
      <w:pPr>
        <w:spacing w:after="0" w:line="240" w:lineRule="auto"/>
        <w:jc w:val="both"/>
        <w:rPr>
          <w:rFonts w:cs="Arial"/>
          <w:b/>
          <w:bCs/>
          <w:sz w:val="20"/>
          <w:szCs w:val="20"/>
        </w:rPr>
      </w:pPr>
    </w:p>
    <w:p w14:paraId="7147536B" w14:textId="3711DD4B" w:rsidR="000A1AEA" w:rsidRPr="000A1AEA" w:rsidRDefault="000A1AEA" w:rsidP="000A1AEA">
      <w:pPr>
        <w:spacing w:after="0" w:line="240" w:lineRule="auto"/>
        <w:jc w:val="both"/>
        <w:rPr>
          <w:rFonts w:cs="Arial"/>
          <w:b/>
          <w:bCs/>
          <w:sz w:val="20"/>
          <w:szCs w:val="20"/>
        </w:rPr>
      </w:pPr>
      <w:r w:rsidRPr="000A1AEA">
        <w:rPr>
          <w:rFonts w:cs="Arial"/>
          <w:b/>
          <w:bCs/>
          <w:sz w:val="20"/>
          <w:szCs w:val="20"/>
        </w:rPr>
        <w:t>Question 1(a): Whether the hedge accounting requirements meet their objective</w:t>
      </w:r>
    </w:p>
    <w:p w14:paraId="2B628A1A" w14:textId="77777777" w:rsidR="000A1AEA" w:rsidRDefault="000A1AEA" w:rsidP="000A1AEA">
      <w:pPr>
        <w:spacing w:after="0" w:line="240" w:lineRule="auto"/>
        <w:jc w:val="both"/>
        <w:rPr>
          <w:rFonts w:cs="Arial"/>
          <w:sz w:val="20"/>
          <w:szCs w:val="20"/>
        </w:rPr>
      </w:pPr>
    </w:p>
    <w:p w14:paraId="585830E5" w14:textId="22C43896" w:rsidR="000A1AEA" w:rsidRDefault="000A1AEA" w:rsidP="000A1AEA">
      <w:pPr>
        <w:spacing w:after="0" w:line="240" w:lineRule="auto"/>
        <w:jc w:val="both"/>
        <w:rPr>
          <w:rFonts w:cs="Arial"/>
          <w:sz w:val="20"/>
          <w:szCs w:val="20"/>
        </w:rPr>
      </w:pPr>
      <w:r w:rsidRPr="000A1AEA">
        <w:rPr>
          <w:rFonts w:cs="Arial"/>
          <w:sz w:val="20"/>
          <w:szCs w:val="20"/>
        </w:rPr>
        <w:t xml:space="preserve">In </w:t>
      </w:r>
      <w:r w:rsidR="008C74A4">
        <w:rPr>
          <w:rFonts w:cs="Arial"/>
          <w:sz w:val="20"/>
          <w:szCs w:val="20"/>
        </w:rPr>
        <w:t xml:space="preserve">My </w:t>
      </w:r>
      <w:r w:rsidRPr="000A1AEA">
        <w:rPr>
          <w:rFonts w:cs="Arial"/>
          <w:sz w:val="20"/>
          <w:szCs w:val="20"/>
        </w:rPr>
        <w:t>view, the hedge accounting requirements in IFRS 9 have broadly met their objective of better aligning the accounting treatment with an entity’s risk management activities.</w:t>
      </w:r>
    </w:p>
    <w:p w14:paraId="331DBB50" w14:textId="77777777" w:rsidR="000A1AEA" w:rsidRPr="000A1AEA" w:rsidRDefault="000A1AEA" w:rsidP="000A1AEA">
      <w:pPr>
        <w:spacing w:after="0" w:line="240" w:lineRule="auto"/>
        <w:jc w:val="both"/>
        <w:rPr>
          <w:rFonts w:cs="Arial"/>
          <w:sz w:val="20"/>
          <w:szCs w:val="20"/>
        </w:rPr>
      </w:pPr>
    </w:p>
    <w:p w14:paraId="4A58B94D" w14:textId="77777777" w:rsidR="000A1AEA" w:rsidRDefault="000A1AEA" w:rsidP="000A1AEA">
      <w:pPr>
        <w:spacing w:after="0" w:line="240" w:lineRule="auto"/>
        <w:jc w:val="both"/>
        <w:rPr>
          <w:rFonts w:cs="Arial"/>
          <w:sz w:val="20"/>
          <w:szCs w:val="20"/>
        </w:rPr>
      </w:pPr>
      <w:r w:rsidRPr="000A1AEA">
        <w:rPr>
          <w:rFonts w:cs="Arial"/>
          <w:sz w:val="20"/>
          <w:szCs w:val="20"/>
        </w:rPr>
        <w:t>The principles-based model has enabled entities to designate a wider range of eligible hedged items and hedging instruments. The ability to designate risk components of non-financial items, together with the removal of the retrospective effectiveness test and the 80% to 125% effectiveness threshold, has made the hedge accounting framework more reflective of commercial risk management practices.</w:t>
      </w:r>
    </w:p>
    <w:p w14:paraId="3C07101C" w14:textId="77777777" w:rsidR="000A1AEA" w:rsidRPr="000A1AEA" w:rsidRDefault="000A1AEA" w:rsidP="000A1AEA">
      <w:pPr>
        <w:spacing w:after="0" w:line="240" w:lineRule="auto"/>
        <w:jc w:val="both"/>
        <w:rPr>
          <w:rFonts w:cs="Arial"/>
          <w:sz w:val="20"/>
          <w:szCs w:val="20"/>
        </w:rPr>
      </w:pPr>
    </w:p>
    <w:p w14:paraId="48C99F55" w14:textId="77777777" w:rsidR="000A1AEA" w:rsidRDefault="000A1AEA" w:rsidP="000A1AEA">
      <w:pPr>
        <w:spacing w:after="0" w:line="240" w:lineRule="auto"/>
        <w:jc w:val="both"/>
        <w:rPr>
          <w:rFonts w:cs="Arial"/>
          <w:sz w:val="20"/>
          <w:szCs w:val="20"/>
        </w:rPr>
      </w:pPr>
      <w:r w:rsidRPr="000A1AEA">
        <w:rPr>
          <w:rFonts w:cs="Arial"/>
          <w:sz w:val="20"/>
          <w:szCs w:val="20"/>
        </w:rPr>
        <w:t>At the same time, economic risk management and hedge accounting continue to operate as two separate processes in many entities. Treasury functions generally initiate hedging transactions based on commercial exposures and internal risk limits. The finance function is then required to translate those transactions into accounting designations, prepare formal documentation, determine the appropriate hedge ratio and establish that the qualifying criteria have been met.</w:t>
      </w:r>
    </w:p>
    <w:p w14:paraId="3FAFF8C8" w14:textId="77777777" w:rsidR="000A1AEA" w:rsidRPr="000A1AEA" w:rsidRDefault="000A1AEA" w:rsidP="000A1AEA">
      <w:pPr>
        <w:spacing w:after="0" w:line="240" w:lineRule="auto"/>
        <w:jc w:val="both"/>
        <w:rPr>
          <w:rFonts w:cs="Arial"/>
          <w:sz w:val="20"/>
          <w:szCs w:val="20"/>
        </w:rPr>
      </w:pPr>
    </w:p>
    <w:p w14:paraId="79F249FB" w14:textId="77777777" w:rsidR="000A1AEA" w:rsidRDefault="000A1AEA" w:rsidP="000A1AEA">
      <w:pPr>
        <w:spacing w:after="0" w:line="240" w:lineRule="auto"/>
        <w:jc w:val="both"/>
        <w:rPr>
          <w:rFonts w:cs="Arial"/>
          <w:sz w:val="20"/>
          <w:szCs w:val="20"/>
        </w:rPr>
      </w:pPr>
      <w:r w:rsidRPr="000A1AEA">
        <w:rPr>
          <w:rFonts w:cs="Arial"/>
          <w:sz w:val="20"/>
          <w:szCs w:val="20"/>
        </w:rPr>
        <w:t>Accordingly, a valid economic hedge may not always qualify for hedge accounting, or an entity may decide not to apply hedge accounting, because the accounting, valuation and documentation requirements are considered disproportionate to the benefit of reducing accounting volatility.</w:t>
      </w:r>
    </w:p>
    <w:p w14:paraId="46167316" w14:textId="77777777" w:rsidR="000A1AEA" w:rsidRPr="000A1AEA" w:rsidRDefault="000A1AEA" w:rsidP="000A1AEA">
      <w:pPr>
        <w:spacing w:after="0" w:line="240" w:lineRule="auto"/>
        <w:jc w:val="both"/>
        <w:rPr>
          <w:rFonts w:cs="Arial"/>
          <w:sz w:val="20"/>
          <w:szCs w:val="20"/>
        </w:rPr>
      </w:pPr>
    </w:p>
    <w:p w14:paraId="5F0D14AC" w14:textId="5823CFA7" w:rsidR="000A1AEA" w:rsidRPr="000A1AEA" w:rsidRDefault="000A1AEA" w:rsidP="000A1AEA">
      <w:pPr>
        <w:spacing w:after="0" w:line="240" w:lineRule="auto"/>
        <w:jc w:val="both"/>
        <w:rPr>
          <w:rFonts w:cs="Arial"/>
          <w:sz w:val="20"/>
          <w:szCs w:val="20"/>
        </w:rPr>
      </w:pPr>
      <w:r w:rsidRPr="000A1AEA">
        <w:rPr>
          <w:rFonts w:cs="Arial"/>
          <w:sz w:val="20"/>
          <w:szCs w:val="20"/>
        </w:rPr>
        <w:t xml:space="preserve">The areas in which </w:t>
      </w:r>
      <w:r w:rsidR="008C74A4">
        <w:rPr>
          <w:rFonts w:cs="Arial"/>
          <w:sz w:val="20"/>
          <w:szCs w:val="20"/>
        </w:rPr>
        <w:t xml:space="preserve">I </w:t>
      </w:r>
      <w:r w:rsidRPr="000A1AEA">
        <w:rPr>
          <w:rFonts w:cs="Arial"/>
          <w:sz w:val="20"/>
          <w:szCs w:val="20"/>
        </w:rPr>
        <w:t>consider further clarification or simplification necessary are discussed below.</w:t>
      </w:r>
    </w:p>
    <w:p w14:paraId="13DEF94E" w14:textId="6649F944" w:rsidR="000A1AEA" w:rsidRPr="000A1AEA" w:rsidRDefault="000A1AEA" w:rsidP="000A1AEA">
      <w:pPr>
        <w:spacing w:after="0" w:line="240" w:lineRule="auto"/>
        <w:jc w:val="both"/>
        <w:rPr>
          <w:rFonts w:cs="Arial"/>
          <w:sz w:val="20"/>
          <w:szCs w:val="20"/>
        </w:rPr>
      </w:pPr>
    </w:p>
    <w:p w14:paraId="6C0EF19C"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1. Assessment of “Highly Probable” Forecast Transactions</w:t>
      </w:r>
    </w:p>
    <w:p w14:paraId="174C6AF7" w14:textId="77777777" w:rsidR="000A1AEA" w:rsidRDefault="000A1AEA" w:rsidP="000A1AEA">
      <w:pPr>
        <w:spacing w:after="0" w:line="240" w:lineRule="auto"/>
        <w:jc w:val="both"/>
        <w:rPr>
          <w:rFonts w:cs="Arial"/>
          <w:sz w:val="20"/>
          <w:szCs w:val="20"/>
        </w:rPr>
      </w:pPr>
    </w:p>
    <w:p w14:paraId="1457EA6E" w14:textId="3EECA395" w:rsidR="000A1AEA" w:rsidRPr="000A1AEA" w:rsidRDefault="000A1AEA" w:rsidP="000A1AEA">
      <w:pPr>
        <w:spacing w:after="0" w:line="240" w:lineRule="auto"/>
        <w:jc w:val="both"/>
        <w:rPr>
          <w:rFonts w:cs="Arial"/>
          <w:sz w:val="20"/>
          <w:szCs w:val="20"/>
        </w:rPr>
      </w:pPr>
      <w:r w:rsidRPr="000A1AEA">
        <w:rPr>
          <w:rFonts w:cs="Arial"/>
          <w:sz w:val="20"/>
          <w:szCs w:val="20"/>
        </w:rPr>
        <w:t>The assessment of whether a forecast transaction is “highly probable” continues to be one of the more judgemental aspects of cash flow hedge accounting.</w:t>
      </w:r>
    </w:p>
    <w:p w14:paraId="2A6402D9" w14:textId="77777777" w:rsidR="000A1AEA" w:rsidRDefault="000A1AEA" w:rsidP="000A1AEA">
      <w:pPr>
        <w:spacing w:after="0" w:line="240" w:lineRule="auto"/>
        <w:jc w:val="both"/>
        <w:rPr>
          <w:rFonts w:cs="Arial"/>
          <w:sz w:val="20"/>
          <w:szCs w:val="20"/>
        </w:rPr>
      </w:pPr>
    </w:p>
    <w:p w14:paraId="0BC94213" w14:textId="69B0456B" w:rsidR="000A1AEA" w:rsidRPr="000A1AEA" w:rsidRDefault="000A1AEA" w:rsidP="000A1AEA">
      <w:pPr>
        <w:spacing w:after="0" w:line="240" w:lineRule="auto"/>
        <w:jc w:val="both"/>
        <w:rPr>
          <w:rFonts w:cs="Arial"/>
          <w:sz w:val="20"/>
          <w:szCs w:val="20"/>
        </w:rPr>
      </w:pPr>
      <w:r w:rsidRPr="000A1AEA">
        <w:rPr>
          <w:rFonts w:cs="Arial"/>
          <w:sz w:val="20"/>
          <w:szCs w:val="20"/>
        </w:rPr>
        <w:t>The concern is especially relevant where the forecast transaction relates to:</w:t>
      </w:r>
    </w:p>
    <w:p w14:paraId="42F88AA6" w14:textId="77777777" w:rsidR="000A1AEA" w:rsidRPr="000A1AEA" w:rsidRDefault="000A1AEA" w:rsidP="000A1AEA">
      <w:pPr>
        <w:numPr>
          <w:ilvl w:val="0"/>
          <w:numId w:val="1"/>
        </w:numPr>
        <w:spacing w:after="0" w:line="240" w:lineRule="auto"/>
        <w:jc w:val="both"/>
        <w:rPr>
          <w:rFonts w:cs="Arial"/>
          <w:sz w:val="20"/>
          <w:szCs w:val="20"/>
        </w:rPr>
      </w:pPr>
      <w:r w:rsidRPr="000A1AEA">
        <w:rPr>
          <w:rFonts w:cs="Arial"/>
          <w:sz w:val="20"/>
          <w:szCs w:val="20"/>
        </w:rPr>
        <w:t>projected exports or imports;</w:t>
      </w:r>
    </w:p>
    <w:p w14:paraId="53EBE18A" w14:textId="77777777" w:rsidR="000A1AEA" w:rsidRPr="000A1AEA" w:rsidRDefault="000A1AEA" w:rsidP="000A1AEA">
      <w:pPr>
        <w:numPr>
          <w:ilvl w:val="0"/>
          <w:numId w:val="1"/>
        </w:numPr>
        <w:spacing w:after="0" w:line="240" w:lineRule="auto"/>
        <w:jc w:val="both"/>
        <w:rPr>
          <w:rFonts w:cs="Arial"/>
          <w:sz w:val="20"/>
          <w:szCs w:val="20"/>
        </w:rPr>
      </w:pPr>
      <w:r w:rsidRPr="000A1AEA">
        <w:rPr>
          <w:rFonts w:cs="Arial"/>
          <w:sz w:val="20"/>
          <w:szCs w:val="20"/>
        </w:rPr>
        <w:t>commodity purchases or sales;</w:t>
      </w:r>
    </w:p>
    <w:p w14:paraId="1B383FCE" w14:textId="77777777" w:rsidR="000A1AEA" w:rsidRPr="000A1AEA" w:rsidRDefault="000A1AEA" w:rsidP="000A1AEA">
      <w:pPr>
        <w:numPr>
          <w:ilvl w:val="0"/>
          <w:numId w:val="1"/>
        </w:numPr>
        <w:spacing w:after="0" w:line="240" w:lineRule="auto"/>
        <w:jc w:val="both"/>
        <w:rPr>
          <w:rFonts w:cs="Arial"/>
          <w:sz w:val="20"/>
          <w:szCs w:val="20"/>
        </w:rPr>
      </w:pPr>
      <w:r w:rsidRPr="000A1AEA">
        <w:rPr>
          <w:rFonts w:cs="Arial"/>
          <w:sz w:val="20"/>
          <w:szCs w:val="20"/>
        </w:rPr>
        <w:t>infrastructure and construction projects;</w:t>
      </w:r>
    </w:p>
    <w:p w14:paraId="57F47F0D" w14:textId="77777777" w:rsidR="000A1AEA" w:rsidRPr="000A1AEA" w:rsidRDefault="000A1AEA" w:rsidP="000A1AEA">
      <w:pPr>
        <w:numPr>
          <w:ilvl w:val="0"/>
          <w:numId w:val="1"/>
        </w:numPr>
        <w:spacing w:after="0" w:line="240" w:lineRule="auto"/>
        <w:jc w:val="both"/>
        <w:rPr>
          <w:rFonts w:cs="Arial"/>
          <w:sz w:val="20"/>
          <w:szCs w:val="20"/>
        </w:rPr>
      </w:pPr>
      <w:r w:rsidRPr="000A1AEA">
        <w:rPr>
          <w:rFonts w:cs="Arial"/>
          <w:sz w:val="20"/>
          <w:szCs w:val="20"/>
        </w:rPr>
        <w:lastRenderedPageBreak/>
        <w:t>transactions under long-term arrangements;</w:t>
      </w:r>
    </w:p>
    <w:p w14:paraId="59BAFEEC" w14:textId="77777777" w:rsidR="000A1AEA" w:rsidRPr="000A1AEA" w:rsidRDefault="000A1AEA" w:rsidP="000A1AEA">
      <w:pPr>
        <w:numPr>
          <w:ilvl w:val="0"/>
          <w:numId w:val="1"/>
        </w:numPr>
        <w:spacing w:after="0" w:line="240" w:lineRule="auto"/>
        <w:jc w:val="both"/>
        <w:rPr>
          <w:rFonts w:cs="Arial"/>
          <w:sz w:val="20"/>
          <w:szCs w:val="20"/>
        </w:rPr>
      </w:pPr>
      <w:r w:rsidRPr="000A1AEA">
        <w:rPr>
          <w:rFonts w:cs="Arial"/>
          <w:sz w:val="20"/>
          <w:szCs w:val="20"/>
        </w:rPr>
        <w:t>forecast transactions dependent on customer orders, regulatory approvals or project milestones; and</w:t>
      </w:r>
    </w:p>
    <w:p w14:paraId="75D27E78" w14:textId="77777777" w:rsidR="000A1AEA" w:rsidRPr="000A1AEA" w:rsidRDefault="000A1AEA" w:rsidP="000A1AEA">
      <w:pPr>
        <w:numPr>
          <w:ilvl w:val="0"/>
          <w:numId w:val="1"/>
        </w:numPr>
        <w:spacing w:after="0" w:line="240" w:lineRule="auto"/>
        <w:jc w:val="both"/>
        <w:rPr>
          <w:rFonts w:cs="Arial"/>
          <w:sz w:val="20"/>
          <w:szCs w:val="20"/>
        </w:rPr>
      </w:pPr>
      <w:r w:rsidRPr="000A1AEA">
        <w:rPr>
          <w:rFonts w:cs="Arial"/>
          <w:sz w:val="20"/>
          <w:szCs w:val="20"/>
        </w:rPr>
        <w:t>transactions whose timing or quantity may be affected by changing economic or market conditions.</w:t>
      </w:r>
    </w:p>
    <w:p w14:paraId="4F95D2B0" w14:textId="77777777" w:rsidR="000A1AEA" w:rsidRDefault="000A1AEA" w:rsidP="000A1AEA">
      <w:pPr>
        <w:spacing w:after="0" w:line="240" w:lineRule="auto"/>
        <w:jc w:val="both"/>
        <w:rPr>
          <w:rFonts w:cs="Arial"/>
          <w:sz w:val="20"/>
          <w:szCs w:val="20"/>
        </w:rPr>
      </w:pPr>
    </w:p>
    <w:p w14:paraId="274AC086" w14:textId="59CE04AA" w:rsidR="000A1AEA" w:rsidRPr="000A1AEA" w:rsidRDefault="000A1AEA" w:rsidP="000A1AEA">
      <w:pPr>
        <w:spacing w:after="0" w:line="240" w:lineRule="auto"/>
        <w:jc w:val="both"/>
        <w:rPr>
          <w:rFonts w:cs="Arial"/>
          <w:sz w:val="20"/>
          <w:szCs w:val="20"/>
        </w:rPr>
      </w:pPr>
      <w:r w:rsidRPr="000A1AEA">
        <w:rPr>
          <w:rFonts w:cs="Arial"/>
          <w:sz w:val="20"/>
          <w:szCs w:val="20"/>
        </w:rPr>
        <w:t>The Standard requires the forecast transaction to be highly probable but does not prescribe a uniform evidentiary threshold. Consequently, the nature and extent of documentation expected to support the assessment may differ between entities, auditors and jurisdictions.</w:t>
      </w:r>
    </w:p>
    <w:p w14:paraId="0FA670D3" w14:textId="77777777" w:rsidR="000A1AEA" w:rsidRDefault="000A1AEA" w:rsidP="000A1AEA">
      <w:pPr>
        <w:spacing w:after="0" w:line="240" w:lineRule="auto"/>
        <w:jc w:val="both"/>
        <w:rPr>
          <w:rFonts w:cs="Arial"/>
          <w:sz w:val="20"/>
          <w:szCs w:val="20"/>
        </w:rPr>
      </w:pPr>
    </w:p>
    <w:p w14:paraId="79C8A320" w14:textId="41C0771D" w:rsidR="000A1AEA" w:rsidRPr="000A1AEA" w:rsidRDefault="000A1AEA" w:rsidP="000A1AEA">
      <w:pPr>
        <w:spacing w:after="0" w:line="240" w:lineRule="auto"/>
        <w:jc w:val="both"/>
        <w:rPr>
          <w:rFonts w:cs="Arial"/>
          <w:sz w:val="20"/>
          <w:szCs w:val="20"/>
        </w:rPr>
      </w:pPr>
      <w:r w:rsidRPr="000A1AEA">
        <w:rPr>
          <w:rFonts w:cs="Arial"/>
          <w:sz w:val="20"/>
          <w:szCs w:val="20"/>
        </w:rPr>
        <w:t>For near-term and repetitive transactions, historical volumes, approved budgets, confirmed orders and contractual commitments usually provide sufficient support. The position becomes more difficult for transactions extending over a longer period or where the timing and quantity cannot be predicted with precision.</w:t>
      </w:r>
    </w:p>
    <w:p w14:paraId="49875438" w14:textId="77777777" w:rsidR="000A1AEA" w:rsidRDefault="000A1AEA" w:rsidP="000A1AEA">
      <w:pPr>
        <w:spacing w:after="0" w:line="240" w:lineRule="auto"/>
        <w:jc w:val="both"/>
        <w:rPr>
          <w:rFonts w:cs="Arial"/>
          <w:sz w:val="20"/>
          <w:szCs w:val="20"/>
        </w:rPr>
      </w:pPr>
    </w:p>
    <w:p w14:paraId="212709A6" w14:textId="7F430798" w:rsidR="000A1AEA" w:rsidRPr="000A1AEA" w:rsidRDefault="000A1AEA" w:rsidP="000A1AEA">
      <w:pPr>
        <w:spacing w:after="0" w:line="240" w:lineRule="auto"/>
        <w:jc w:val="both"/>
        <w:rPr>
          <w:rFonts w:cs="Arial"/>
          <w:sz w:val="20"/>
          <w:szCs w:val="20"/>
        </w:rPr>
      </w:pPr>
      <w:r w:rsidRPr="000A1AEA">
        <w:rPr>
          <w:rFonts w:cs="Arial"/>
          <w:sz w:val="20"/>
          <w:szCs w:val="20"/>
        </w:rPr>
        <w:t>In such cases, management may have a commercially valid exposure that is actively managed by the treasury function, but the accounting documentation may still be questioned because the available evidence does not establish the forecast transaction with the level of certainty expected for hedge accounting.</w:t>
      </w:r>
    </w:p>
    <w:p w14:paraId="6A1ECCEA" w14:textId="77777777" w:rsidR="000A1AEA" w:rsidRDefault="000A1AEA" w:rsidP="000A1AEA">
      <w:pPr>
        <w:spacing w:after="0" w:line="240" w:lineRule="auto"/>
        <w:jc w:val="both"/>
        <w:rPr>
          <w:rFonts w:cs="Arial"/>
          <w:b/>
          <w:bCs/>
          <w:sz w:val="20"/>
          <w:szCs w:val="20"/>
        </w:rPr>
      </w:pPr>
    </w:p>
    <w:p w14:paraId="71A9E511" w14:textId="67B6C7E0"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5FD88DED" w14:textId="77777777" w:rsidR="000A1AEA" w:rsidRDefault="000A1AEA" w:rsidP="000A1AEA">
      <w:pPr>
        <w:spacing w:after="0" w:line="240" w:lineRule="auto"/>
        <w:jc w:val="both"/>
        <w:rPr>
          <w:rFonts w:cs="Arial"/>
          <w:sz w:val="20"/>
          <w:szCs w:val="20"/>
        </w:rPr>
      </w:pPr>
    </w:p>
    <w:p w14:paraId="1DC5AD1F" w14:textId="3AA82678" w:rsidR="000A1AEA" w:rsidRPr="000A1AEA" w:rsidRDefault="000A1AEA" w:rsidP="000A1AEA">
      <w:pPr>
        <w:spacing w:after="0" w:line="240" w:lineRule="auto"/>
        <w:jc w:val="both"/>
        <w:rPr>
          <w:rFonts w:cs="Arial"/>
          <w:sz w:val="20"/>
          <w:szCs w:val="20"/>
        </w:rPr>
      </w:pPr>
      <w:r w:rsidRPr="000A1AEA">
        <w:rPr>
          <w:rFonts w:cs="Arial"/>
          <w:sz w:val="20"/>
          <w:szCs w:val="20"/>
        </w:rPr>
        <w:t>The IASB may consider providing additional application guidance or illustrative examples dealing with:</w:t>
      </w:r>
    </w:p>
    <w:p w14:paraId="438F4020" w14:textId="77777777" w:rsidR="000A1AEA" w:rsidRPr="000A1AEA" w:rsidRDefault="000A1AEA" w:rsidP="000A1AEA">
      <w:pPr>
        <w:numPr>
          <w:ilvl w:val="0"/>
          <w:numId w:val="2"/>
        </w:numPr>
        <w:spacing w:after="0" w:line="240" w:lineRule="auto"/>
        <w:jc w:val="both"/>
        <w:rPr>
          <w:rFonts w:cs="Arial"/>
          <w:sz w:val="20"/>
          <w:szCs w:val="20"/>
        </w:rPr>
      </w:pPr>
      <w:r w:rsidRPr="000A1AEA">
        <w:rPr>
          <w:rFonts w:cs="Arial"/>
          <w:sz w:val="20"/>
          <w:szCs w:val="20"/>
        </w:rPr>
        <w:t>the factors that should be considered in assessing whether a forecast transaction is highly probable;</w:t>
      </w:r>
    </w:p>
    <w:p w14:paraId="699BD880" w14:textId="77777777" w:rsidR="000A1AEA" w:rsidRPr="000A1AEA" w:rsidRDefault="000A1AEA" w:rsidP="000A1AEA">
      <w:pPr>
        <w:numPr>
          <w:ilvl w:val="0"/>
          <w:numId w:val="2"/>
        </w:numPr>
        <w:spacing w:after="0" w:line="240" w:lineRule="auto"/>
        <w:jc w:val="both"/>
        <w:rPr>
          <w:rFonts w:cs="Arial"/>
          <w:sz w:val="20"/>
          <w:szCs w:val="20"/>
        </w:rPr>
      </w:pPr>
      <w:r w:rsidRPr="000A1AEA">
        <w:rPr>
          <w:rFonts w:cs="Arial"/>
          <w:sz w:val="20"/>
          <w:szCs w:val="20"/>
        </w:rPr>
        <w:t>the relative weight to be given to approved budgets, historical transaction patterns, contractual arrangements, production plans, order books and management forecasts;</w:t>
      </w:r>
    </w:p>
    <w:p w14:paraId="1ACD8E47" w14:textId="77777777" w:rsidR="000A1AEA" w:rsidRPr="000A1AEA" w:rsidRDefault="000A1AEA" w:rsidP="000A1AEA">
      <w:pPr>
        <w:numPr>
          <w:ilvl w:val="0"/>
          <w:numId w:val="2"/>
        </w:numPr>
        <w:spacing w:after="0" w:line="240" w:lineRule="auto"/>
        <w:jc w:val="both"/>
        <w:rPr>
          <w:rFonts w:cs="Arial"/>
          <w:sz w:val="20"/>
          <w:szCs w:val="20"/>
        </w:rPr>
      </w:pPr>
      <w:r w:rsidRPr="000A1AEA">
        <w:rPr>
          <w:rFonts w:cs="Arial"/>
          <w:sz w:val="20"/>
          <w:szCs w:val="20"/>
        </w:rPr>
        <w:t>the extent to which uncertainty in timing or quantity affects the assessment;</w:t>
      </w:r>
    </w:p>
    <w:p w14:paraId="5AD80339" w14:textId="77777777" w:rsidR="000A1AEA" w:rsidRPr="000A1AEA" w:rsidRDefault="000A1AEA" w:rsidP="000A1AEA">
      <w:pPr>
        <w:numPr>
          <w:ilvl w:val="0"/>
          <w:numId w:val="2"/>
        </w:numPr>
        <w:spacing w:after="0" w:line="240" w:lineRule="auto"/>
        <w:jc w:val="both"/>
        <w:rPr>
          <w:rFonts w:cs="Arial"/>
          <w:sz w:val="20"/>
          <w:szCs w:val="20"/>
        </w:rPr>
      </w:pPr>
      <w:r w:rsidRPr="000A1AEA">
        <w:rPr>
          <w:rFonts w:cs="Arial"/>
          <w:sz w:val="20"/>
          <w:szCs w:val="20"/>
        </w:rPr>
        <w:t>reassessment of the highly probable criterion when market conditions change after designation;</w:t>
      </w:r>
    </w:p>
    <w:p w14:paraId="2C007BD9" w14:textId="77777777" w:rsidR="000A1AEA" w:rsidRPr="000A1AEA" w:rsidRDefault="000A1AEA" w:rsidP="000A1AEA">
      <w:pPr>
        <w:numPr>
          <w:ilvl w:val="0"/>
          <w:numId w:val="2"/>
        </w:numPr>
        <w:spacing w:after="0" w:line="240" w:lineRule="auto"/>
        <w:jc w:val="both"/>
        <w:rPr>
          <w:rFonts w:cs="Arial"/>
          <w:sz w:val="20"/>
          <w:szCs w:val="20"/>
        </w:rPr>
      </w:pPr>
      <w:r w:rsidRPr="000A1AEA">
        <w:rPr>
          <w:rFonts w:cs="Arial"/>
          <w:sz w:val="20"/>
          <w:szCs w:val="20"/>
        </w:rPr>
        <w:t>situations involving long-term forecast transactions; and</w:t>
      </w:r>
    </w:p>
    <w:p w14:paraId="299BFB04" w14:textId="77777777" w:rsidR="000A1AEA" w:rsidRPr="000A1AEA" w:rsidRDefault="000A1AEA" w:rsidP="000A1AEA">
      <w:pPr>
        <w:numPr>
          <w:ilvl w:val="0"/>
          <w:numId w:val="2"/>
        </w:numPr>
        <w:spacing w:after="0" w:line="240" w:lineRule="auto"/>
        <w:jc w:val="both"/>
        <w:rPr>
          <w:rFonts w:cs="Arial"/>
          <w:sz w:val="20"/>
          <w:szCs w:val="20"/>
        </w:rPr>
      </w:pPr>
      <w:r w:rsidRPr="000A1AEA">
        <w:rPr>
          <w:rFonts w:cs="Arial"/>
          <w:sz w:val="20"/>
          <w:szCs w:val="20"/>
        </w:rPr>
        <w:t>assessment of forecast transactions on a portfolio or aggregated basis.</w:t>
      </w:r>
    </w:p>
    <w:p w14:paraId="01761B69" w14:textId="77777777" w:rsidR="000A1AEA" w:rsidRDefault="000A1AEA" w:rsidP="000A1AEA">
      <w:pPr>
        <w:spacing w:after="0" w:line="240" w:lineRule="auto"/>
        <w:jc w:val="both"/>
        <w:rPr>
          <w:rFonts w:cs="Arial"/>
          <w:sz w:val="20"/>
          <w:szCs w:val="20"/>
        </w:rPr>
      </w:pPr>
    </w:p>
    <w:p w14:paraId="5FF9915B" w14:textId="11C9B01E" w:rsidR="000A1AEA" w:rsidRPr="000A1AEA" w:rsidRDefault="000A1AEA" w:rsidP="000A1AEA">
      <w:pPr>
        <w:spacing w:after="0" w:line="240" w:lineRule="auto"/>
        <w:jc w:val="both"/>
        <w:rPr>
          <w:rFonts w:cs="Arial"/>
          <w:sz w:val="20"/>
          <w:szCs w:val="20"/>
        </w:rPr>
      </w:pPr>
      <w:r w:rsidRPr="000A1AEA">
        <w:rPr>
          <w:rFonts w:cs="Arial"/>
          <w:sz w:val="20"/>
          <w:szCs w:val="20"/>
        </w:rPr>
        <w:t>The objective should not be to create a rigid quantitative threshold. Practical indicators would, however, help reduce diversity in interpretation and prevent the level of documentation from becoming more onerous than the underlying risk management process.</w:t>
      </w:r>
    </w:p>
    <w:p w14:paraId="044A4626" w14:textId="2B063A93" w:rsidR="000A1AEA" w:rsidRPr="000A1AEA" w:rsidRDefault="000A1AEA" w:rsidP="000A1AEA">
      <w:pPr>
        <w:spacing w:after="0" w:line="240" w:lineRule="auto"/>
        <w:jc w:val="both"/>
        <w:rPr>
          <w:rFonts w:cs="Arial"/>
          <w:sz w:val="20"/>
          <w:szCs w:val="20"/>
        </w:rPr>
      </w:pPr>
    </w:p>
    <w:p w14:paraId="3071DD79"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2. Documentation and Ongoing Monitoring</w:t>
      </w:r>
    </w:p>
    <w:p w14:paraId="4ABDD01E" w14:textId="77777777" w:rsidR="000A1AEA" w:rsidRPr="000A1AEA" w:rsidRDefault="000A1AEA" w:rsidP="000A1AEA">
      <w:pPr>
        <w:spacing w:after="0" w:line="240" w:lineRule="auto"/>
        <w:jc w:val="both"/>
        <w:rPr>
          <w:rFonts w:cs="Arial"/>
          <w:sz w:val="14"/>
          <w:szCs w:val="14"/>
        </w:rPr>
      </w:pPr>
    </w:p>
    <w:p w14:paraId="1B4A313E" w14:textId="2901F26C" w:rsidR="000A1AEA" w:rsidRPr="000A1AEA" w:rsidRDefault="000A1AEA" w:rsidP="000A1AEA">
      <w:pPr>
        <w:spacing w:after="0" w:line="240" w:lineRule="auto"/>
        <w:jc w:val="both"/>
        <w:rPr>
          <w:rFonts w:cs="Arial"/>
          <w:sz w:val="20"/>
          <w:szCs w:val="20"/>
        </w:rPr>
      </w:pPr>
      <w:r w:rsidRPr="000A1AEA">
        <w:rPr>
          <w:rFonts w:cs="Arial"/>
          <w:sz w:val="20"/>
          <w:szCs w:val="20"/>
        </w:rPr>
        <w:t>IFRS 9 replaced the retrospective effectiveness threshold with a principles-based assessment. Nevertheless, the documentation burden has not reduced to the extent that may have been originally expected.</w:t>
      </w:r>
    </w:p>
    <w:p w14:paraId="084A77C4" w14:textId="77777777" w:rsidR="000A1AEA" w:rsidRPr="000A1AEA" w:rsidRDefault="000A1AEA" w:rsidP="000A1AEA">
      <w:pPr>
        <w:spacing w:after="0" w:line="240" w:lineRule="auto"/>
        <w:jc w:val="both"/>
        <w:rPr>
          <w:rFonts w:cs="Arial"/>
          <w:sz w:val="14"/>
          <w:szCs w:val="14"/>
        </w:rPr>
      </w:pPr>
    </w:p>
    <w:p w14:paraId="084FD98A" w14:textId="6EE5FDE7" w:rsidR="000A1AEA" w:rsidRPr="000A1AEA" w:rsidRDefault="000A1AEA" w:rsidP="000A1AEA">
      <w:pPr>
        <w:spacing w:after="0" w:line="240" w:lineRule="auto"/>
        <w:jc w:val="both"/>
        <w:rPr>
          <w:rFonts w:cs="Arial"/>
          <w:sz w:val="20"/>
          <w:szCs w:val="20"/>
        </w:rPr>
      </w:pPr>
      <w:r w:rsidRPr="000A1AEA">
        <w:rPr>
          <w:rFonts w:cs="Arial"/>
          <w:sz w:val="20"/>
          <w:szCs w:val="20"/>
        </w:rPr>
        <w:t xml:space="preserve">At the inception of a hedge relationship, an entity is required to document the risk management objective and strategy, the hedging instrument, the hedged item, the nature of the risk being hedged, the hedge ratio and the </w:t>
      </w:r>
      <w:proofErr w:type="gramStart"/>
      <w:r w:rsidRPr="000A1AEA">
        <w:rPr>
          <w:rFonts w:cs="Arial"/>
          <w:sz w:val="20"/>
          <w:szCs w:val="20"/>
        </w:rPr>
        <w:t>manner in which</w:t>
      </w:r>
      <w:proofErr w:type="gramEnd"/>
      <w:r w:rsidRPr="000A1AEA">
        <w:rPr>
          <w:rFonts w:cs="Arial"/>
          <w:sz w:val="20"/>
          <w:szCs w:val="20"/>
        </w:rPr>
        <w:t xml:space="preserve"> hedge effectiveness will be assessed.</w:t>
      </w:r>
    </w:p>
    <w:p w14:paraId="7ADE7B5E" w14:textId="77777777" w:rsidR="000A1AEA" w:rsidRPr="000A1AEA" w:rsidRDefault="000A1AEA" w:rsidP="000A1AEA">
      <w:pPr>
        <w:spacing w:after="0" w:line="240" w:lineRule="auto"/>
        <w:jc w:val="both"/>
        <w:rPr>
          <w:rFonts w:cs="Arial"/>
          <w:sz w:val="14"/>
          <w:szCs w:val="14"/>
        </w:rPr>
      </w:pPr>
    </w:p>
    <w:p w14:paraId="7A593794" w14:textId="2BE13C99" w:rsidR="000A1AEA" w:rsidRPr="000A1AEA" w:rsidRDefault="000A1AEA" w:rsidP="000A1AEA">
      <w:pPr>
        <w:spacing w:after="0" w:line="240" w:lineRule="auto"/>
        <w:jc w:val="both"/>
        <w:rPr>
          <w:rFonts w:cs="Arial"/>
          <w:sz w:val="20"/>
          <w:szCs w:val="20"/>
        </w:rPr>
      </w:pPr>
      <w:r w:rsidRPr="000A1AEA">
        <w:rPr>
          <w:rFonts w:cs="Arial"/>
          <w:sz w:val="20"/>
          <w:szCs w:val="20"/>
        </w:rPr>
        <w:t>Thereafter, the entity must continue to demonstrate:</w:t>
      </w:r>
    </w:p>
    <w:p w14:paraId="4BB62EA9" w14:textId="77777777" w:rsidR="000A1AEA" w:rsidRPr="000A1AEA" w:rsidRDefault="000A1AEA" w:rsidP="000A1AEA">
      <w:pPr>
        <w:numPr>
          <w:ilvl w:val="0"/>
          <w:numId w:val="3"/>
        </w:numPr>
        <w:spacing w:after="0" w:line="240" w:lineRule="auto"/>
        <w:jc w:val="both"/>
        <w:rPr>
          <w:rFonts w:cs="Arial"/>
          <w:sz w:val="20"/>
          <w:szCs w:val="20"/>
        </w:rPr>
      </w:pPr>
      <w:r w:rsidRPr="000A1AEA">
        <w:rPr>
          <w:rFonts w:cs="Arial"/>
          <w:sz w:val="20"/>
          <w:szCs w:val="20"/>
        </w:rPr>
        <w:t>the existence of an economic relationship;</w:t>
      </w:r>
    </w:p>
    <w:p w14:paraId="2728FA03" w14:textId="77777777" w:rsidR="000A1AEA" w:rsidRPr="000A1AEA" w:rsidRDefault="000A1AEA" w:rsidP="000A1AEA">
      <w:pPr>
        <w:numPr>
          <w:ilvl w:val="0"/>
          <w:numId w:val="3"/>
        </w:numPr>
        <w:spacing w:after="0" w:line="240" w:lineRule="auto"/>
        <w:jc w:val="both"/>
        <w:rPr>
          <w:rFonts w:cs="Arial"/>
          <w:sz w:val="20"/>
          <w:szCs w:val="20"/>
        </w:rPr>
      </w:pPr>
      <w:r w:rsidRPr="000A1AEA">
        <w:rPr>
          <w:rFonts w:cs="Arial"/>
          <w:sz w:val="20"/>
          <w:szCs w:val="20"/>
        </w:rPr>
        <w:t>that credit risk does not dominate the value changes arising from that relationship;</w:t>
      </w:r>
    </w:p>
    <w:p w14:paraId="6A0C1F27" w14:textId="77777777" w:rsidR="000A1AEA" w:rsidRPr="000A1AEA" w:rsidRDefault="000A1AEA" w:rsidP="000A1AEA">
      <w:pPr>
        <w:numPr>
          <w:ilvl w:val="0"/>
          <w:numId w:val="3"/>
        </w:numPr>
        <w:spacing w:after="0" w:line="240" w:lineRule="auto"/>
        <w:jc w:val="both"/>
        <w:rPr>
          <w:rFonts w:cs="Arial"/>
          <w:sz w:val="20"/>
          <w:szCs w:val="20"/>
        </w:rPr>
      </w:pPr>
      <w:r w:rsidRPr="000A1AEA">
        <w:rPr>
          <w:rFonts w:cs="Arial"/>
          <w:sz w:val="20"/>
          <w:szCs w:val="20"/>
        </w:rPr>
        <w:t xml:space="preserve">that the hedge ratio reflects the quantities </w:t>
      </w:r>
      <w:proofErr w:type="gramStart"/>
      <w:r w:rsidRPr="000A1AEA">
        <w:rPr>
          <w:rFonts w:cs="Arial"/>
          <w:sz w:val="20"/>
          <w:szCs w:val="20"/>
        </w:rPr>
        <w:t>actually used</w:t>
      </w:r>
      <w:proofErr w:type="gramEnd"/>
      <w:r w:rsidRPr="000A1AEA">
        <w:rPr>
          <w:rFonts w:cs="Arial"/>
          <w:sz w:val="20"/>
          <w:szCs w:val="20"/>
        </w:rPr>
        <w:t xml:space="preserve"> for risk management purposes; and</w:t>
      </w:r>
    </w:p>
    <w:p w14:paraId="6E1401BE" w14:textId="77777777" w:rsidR="000A1AEA" w:rsidRPr="000A1AEA" w:rsidRDefault="000A1AEA" w:rsidP="000A1AEA">
      <w:pPr>
        <w:numPr>
          <w:ilvl w:val="0"/>
          <w:numId w:val="3"/>
        </w:numPr>
        <w:spacing w:after="0" w:line="240" w:lineRule="auto"/>
        <w:jc w:val="both"/>
        <w:rPr>
          <w:rFonts w:cs="Arial"/>
          <w:sz w:val="20"/>
          <w:szCs w:val="20"/>
        </w:rPr>
      </w:pPr>
      <w:r w:rsidRPr="000A1AEA">
        <w:rPr>
          <w:rFonts w:cs="Arial"/>
          <w:sz w:val="20"/>
          <w:szCs w:val="20"/>
        </w:rPr>
        <w:t>that the hedge relationship continues to meet the qualifying criteria.</w:t>
      </w:r>
    </w:p>
    <w:p w14:paraId="74B641D7" w14:textId="77777777" w:rsidR="000A1AEA" w:rsidRPr="000A1AEA" w:rsidRDefault="000A1AEA" w:rsidP="000A1AEA">
      <w:pPr>
        <w:spacing w:after="0" w:line="240" w:lineRule="auto"/>
        <w:jc w:val="both"/>
        <w:rPr>
          <w:rFonts w:cs="Arial"/>
          <w:sz w:val="14"/>
          <w:szCs w:val="14"/>
        </w:rPr>
      </w:pPr>
    </w:p>
    <w:p w14:paraId="1093C96B" w14:textId="442FB16B" w:rsidR="000A1AEA" w:rsidRPr="000A1AEA" w:rsidRDefault="000A1AEA" w:rsidP="000A1AEA">
      <w:pPr>
        <w:spacing w:after="0" w:line="240" w:lineRule="auto"/>
        <w:jc w:val="both"/>
        <w:rPr>
          <w:rFonts w:cs="Arial"/>
          <w:sz w:val="20"/>
          <w:szCs w:val="20"/>
        </w:rPr>
      </w:pPr>
      <w:r w:rsidRPr="000A1AEA">
        <w:rPr>
          <w:rFonts w:cs="Arial"/>
          <w:sz w:val="20"/>
          <w:szCs w:val="20"/>
        </w:rPr>
        <w:t xml:space="preserve">For straightforward hedge relationships, this framework is workable. For entities </w:t>
      </w:r>
      <w:proofErr w:type="gramStart"/>
      <w:r w:rsidRPr="000A1AEA">
        <w:rPr>
          <w:rFonts w:cs="Arial"/>
          <w:sz w:val="20"/>
          <w:szCs w:val="20"/>
        </w:rPr>
        <w:t>entering into</w:t>
      </w:r>
      <w:proofErr w:type="gramEnd"/>
      <w:r w:rsidRPr="000A1AEA">
        <w:rPr>
          <w:rFonts w:cs="Arial"/>
          <w:sz w:val="20"/>
          <w:szCs w:val="20"/>
        </w:rPr>
        <w:t xml:space="preserve"> </w:t>
      </w:r>
      <w:proofErr w:type="gramStart"/>
      <w:r w:rsidRPr="000A1AEA">
        <w:rPr>
          <w:rFonts w:cs="Arial"/>
          <w:sz w:val="20"/>
          <w:szCs w:val="20"/>
        </w:rPr>
        <w:t>a large number of</w:t>
      </w:r>
      <w:proofErr w:type="gramEnd"/>
      <w:r w:rsidRPr="000A1AEA">
        <w:rPr>
          <w:rFonts w:cs="Arial"/>
          <w:sz w:val="20"/>
          <w:szCs w:val="20"/>
        </w:rPr>
        <w:t xml:space="preserve"> derivative contracts, the preparation, maintenance and audit of hedge documentation remain </w:t>
      </w:r>
      <w:proofErr w:type="gramStart"/>
      <w:r w:rsidRPr="000A1AEA">
        <w:rPr>
          <w:rFonts w:cs="Arial"/>
          <w:sz w:val="20"/>
          <w:szCs w:val="20"/>
        </w:rPr>
        <w:t>resource-intensive</w:t>
      </w:r>
      <w:proofErr w:type="gramEnd"/>
      <w:r w:rsidRPr="000A1AEA">
        <w:rPr>
          <w:rFonts w:cs="Arial"/>
          <w:sz w:val="20"/>
          <w:szCs w:val="20"/>
        </w:rPr>
        <w:t>.</w:t>
      </w:r>
    </w:p>
    <w:p w14:paraId="5F737A50" w14:textId="77777777" w:rsidR="000A1AEA" w:rsidRPr="000A1AEA" w:rsidRDefault="000A1AEA" w:rsidP="000A1AEA">
      <w:pPr>
        <w:spacing w:after="0" w:line="240" w:lineRule="auto"/>
        <w:jc w:val="both"/>
        <w:rPr>
          <w:rFonts w:cs="Arial"/>
          <w:sz w:val="14"/>
          <w:szCs w:val="14"/>
        </w:rPr>
      </w:pPr>
    </w:p>
    <w:p w14:paraId="10A2B6DC" w14:textId="0F08CB7F" w:rsidR="000A1AEA" w:rsidRPr="000A1AEA" w:rsidRDefault="000A1AEA" w:rsidP="000A1AEA">
      <w:pPr>
        <w:spacing w:after="0" w:line="240" w:lineRule="auto"/>
        <w:jc w:val="both"/>
        <w:rPr>
          <w:rFonts w:cs="Arial"/>
          <w:sz w:val="20"/>
          <w:szCs w:val="20"/>
        </w:rPr>
      </w:pPr>
      <w:r w:rsidRPr="000A1AEA">
        <w:rPr>
          <w:rFonts w:cs="Arial"/>
          <w:sz w:val="20"/>
          <w:szCs w:val="20"/>
        </w:rPr>
        <w:t>The requirement for timely documentation is appropriate because hedge accounting should not be applied retrospectively. However, the Standard could distinguish more clearly between the minimum documentation necessary for ordinary hedge relationships and the more detailed analysis required for complex arrangements.</w:t>
      </w:r>
    </w:p>
    <w:p w14:paraId="5C0F1394" w14:textId="77777777" w:rsidR="000A1AEA" w:rsidRPr="000A1AEA" w:rsidRDefault="000A1AEA" w:rsidP="000A1AEA">
      <w:pPr>
        <w:spacing w:after="0" w:line="240" w:lineRule="auto"/>
        <w:jc w:val="both"/>
        <w:rPr>
          <w:rFonts w:cs="Arial"/>
          <w:b/>
          <w:bCs/>
          <w:sz w:val="14"/>
          <w:szCs w:val="14"/>
        </w:rPr>
      </w:pPr>
    </w:p>
    <w:p w14:paraId="4D4DD71C" w14:textId="6C282B39"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43901645" w14:textId="77777777" w:rsidR="000A1AEA" w:rsidRPr="000A1AEA" w:rsidRDefault="000A1AEA" w:rsidP="000A1AEA">
      <w:pPr>
        <w:spacing w:after="0" w:line="240" w:lineRule="auto"/>
        <w:jc w:val="both"/>
        <w:rPr>
          <w:rFonts w:cs="Arial"/>
          <w:sz w:val="10"/>
          <w:szCs w:val="10"/>
        </w:rPr>
      </w:pPr>
    </w:p>
    <w:p w14:paraId="3E42280F" w14:textId="496F07EE" w:rsidR="000A1AEA" w:rsidRPr="000A1AEA" w:rsidRDefault="000A1AEA" w:rsidP="000A1AEA">
      <w:pPr>
        <w:spacing w:after="0" w:line="240" w:lineRule="auto"/>
        <w:jc w:val="both"/>
        <w:rPr>
          <w:rFonts w:cs="Arial"/>
          <w:sz w:val="20"/>
          <w:szCs w:val="20"/>
        </w:rPr>
      </w:pPr>
      <w:r w:rsidRPr="000A1AEA">
        <w:rPr>
          <w:rFonts w:cs="Arial"/>
          <w:sz w:val="20"/>
          <w:szCs w:val="20"/>
        </w:rPr>
        <w:t>The IASB may consider developing a scalable documentation framework or illustrative documentation examples for commonly occurring hedge relationships, including:</w:t>
      </w:r>
    </w:p>
    <w:p w14:paraId="0B07ADF4" w14:textId="77777777" w:rsidR="000A1AEA" w:rsidRPr="000A1AEA" w:rsidRDefault="000A1AEA" w:rsidP="000A1AEA">
      <w:pPr>
        <w:numPr>
          <w:ilvl w:val="0"/>
          <w:numId w:val="4"/>
        </w:numPr>
        <w:spacing w:after="0" w:line="240" w:lineRule="auto"/>
        <w:jc w:val="both"/>
        <w:rPr>
          <w:rFonts w:cs="Arial"/>
          <w:sz w:val="20"/>
          <w:szCs w:val="20"/>
        </w:rPr>
      </w:pPr>
      <w:r w:rsidRPr="000A1AEA">
        <w:rPr>
          <w:rFonts w:cs="Arial"/>
          <w:sz w:val="20"/>
          <w:szCs w:val="20"/>
        </w:rPr>
        <w:t>foreign currency forward contracts against forecast imports or exports;</w:t>
      </w:r>
    </w:p>
    <w:p w14:paraId="40A92FB3" w14:textId="77777777" w:rsidR="000A1AEA" w:rsidRPr="000A1AEA" w:rsidRDefault="000A1AEA" w:rsidP="000A1AEA">
      <w:pPr>
        <w:numPr>
          <w:ilvl w:val="0"/>
          <w:numId w:val="4"/>
        </w:numPr>
        <w:spacing w:after="0" w:line="240" w:lineRule="auto"/>
        <w:jc w:val="both"/>
        <w:rPr>
          <w:rFonts w:cs="Arial"/>
          <w:sz w:val="20"/>
          <w:szCs w:val="20"/>
        </w:rPr>
      </w:pPr>
      <w:r w:rsidRPr="000A1AEA">
        <w:rPr>
          <w:rFonts w:cs="Arial"/>
          <w:sz w:val="20"/>
          <w:szCs w:val="20"/>
        </w:rPr>
        <w:t>interest rate swaps against variable-rate borrowings;</w:t>
      </w:r>
    </w:p>
    <w:p w14:paraId="3597B980" w14:textId="77777777" w:rsidR="000A1AEA" w:rsidRPr="000A1AEA" w:rsidRDefault="000A1AEA" w:rsidP="000A1AEA">
      <w:pPr>
        <w:numPr>
          <w:ilvl w:val="0"/>
          <w:numId w:val="4"/>
        </w:numPr>
        <w:spacing w:after="0" w:line="240" w:lineRule="auto"/>
        <w:jc w:val="both"/>
        <w:rPr>
          <w:rFonts w:cs="Arial"/>
          <w:sz w:val="20"/>
          <w:szCs w:val="20"/>
        </w:rPr>
      </w:pPr>
      <w:r w:rsidRPr="000A1AEA">
        <w:rPr>
          <w:rFonts w:cs="Arial"/>
          <w:sz w:val="20"/>
          <w:szCs w:val="20"/>
        </w:rPr>
        <w:t>commodity derivatives against forecast purchases or sales; and</w:t>
      </w:r>
    </w:p>
    <w:p w14:paraId="18B42451" w14:textId="77777777" w:rsidR="000A1AEA" w:rsidRPr="000A1AEA" w:rsidRDefault="000A1AEA" w:rsidP="000A1AEA">
      <w:pPr>
        <w:numPr>
          <w:ilvl w:val="0"/>
          <w:numId w:val="4"/>
        </w:numPr>
        <w:spacing w:after="0" w:line="240" w:lineRule="auto"/>
        <w:jc w:val="both"/>
        <w:rPr>
          <w:rFonts w:cs="Arial"/>
          <w:sz w:val="20"/>
          <w:szCs w:val="20"/>
        </w:rPr>
      </w:pPr>
      <w:r w:rsidRPr="000A1AEA">
        <w:rPr>
          <w:rFonts w:cs="Arial"/>
          <w:sz w:val="20"/>
          <w:szCs w:val="20"/>
        </w:rPr>
        <w:t>net investment hedges.</w:t>
      </w:r>
    </w:p>
    <w:p w14:paraId="3843E12A" w14:textId="77777777" w:rsidR="000A1AEA" w:rsidRPr="000A1AEA" w:rsidRDefault="000A1AEA" w:rsidP="000A1AEA">
      <w:pPr>
        <w:spacing w:after="0" w:line="240" w:lineRule="auto"/>
        <w:jc w:val="both"/>
        <w:rPr>
          <w:rFonts w:cs="Arial"/>
          <w:sz w:val="10"/>
          <w:szCs w:val="10"/>
        </w:rPr>
      </w:pPr>
    </w:p>
    <w:p w14:paraId="51E1EF79" w14:textId="09B3229F" w:rsidR="000A1AEA" w:rsidRPr="000A1AEA" w:rsidRDefault="000A1AEA" w:rsidP="000A1AEA">
      <w:pPr>
        <w:spacing w:after="0" w:line="240" w:lineRule="auto"/>
        <w:jc w:val="both"/>
        <w:rPr>
          <w:rFonts w:cs="Arial"/>
          <w:sz w:val="20"/>
          <w:szCs w:val="20"/>
        </w:rPr>
      </w:pPr>
      <w:r w:rsidRPr="000A1AEA">
        <w:rPr>
          <w:rFonts w:cs="Arial"/>
          <w:sz w:val="20"/>
          <w:szCs w:val="20"/>
        </w:rPr>
        <w:lastRenderedPageBreak/>
        <w:t>Such guidance would improve consistency without diluting the discipline required for hedge accounting.</w:t>
      </w:r>
    </w:p>
    <w:p w14:paraId="76C2C293"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3. Hedge Effectiveness and the Economic Relationship</w:t>
      </w:r>
    </w:p>
    <w:p w14:paraId="7572F996" w14:textId="77777777" w:rsidR="000A1AEA" w:rsidRDefault="000A1AEA" w:rsidP="000A1AEA">
      <w:pPr>
        <w:spacing w:after="0" w:line="240" w:lineRule="auto"/>
        <w:jc w:val="both"/>
        <w:rPr>
          <w:rFonts w:cs="Arial"/>
          <w:sz w:val="20"/>
          <w:szCs w:val="20"/>
        </w:rPr>
      </w:pPr>
    </w:p>
    <w:p w14:paraId="28AF667B" w14:textId="6FA704E0" w:rsidR="000A1AEA" w:rsidRDefault="000A1AEA" w:rsidP="000A1AEA">
      <w:pPr>
        <w:spacing w:after="0" w:line="240" w:lineRule="auto"/>
        <w:jc w:val="both"/>
        <w:rPr>
          <w:rFonts w:cs="Arial"/>
          <w:sz w:val="20"/>
          <w:szCs w:val="20"/>
        </w:rPr>
      </w:pPr>
      <w:r w:rsidRPr="000A1AEA">
        <w:rPr>
          <w:rFonts w:cs="Arial"/>
          <w:sz w:val="20"/>
          <w:szCs w:val="20"/>
        </w:rPr>
        <w:t>The removal of the 80% to 125% threshold has avoided arbitrary discontinuation of hedge accounting merely because a numerical threshold was not met. This is a significant improvement over IAS 39.</w:t>
      </w:r>
    </w:p>
    <w:p w14:paraId="19AEE385" w14:textId="77777777" w:rsidR="000A1AEA" w:rsidRPr="000A1AEA" w:rsidRDefault="000A1AEA" w:rsidP="000A1AEA">
      <w:pPr>
        <w:spacing w:after="0" w:line="240" w:lineRule="auto"/>
        <w:jc w:val="both"/>
        <w:rPr>
          <w:rFonts w:cs="Arial"/>
          <w:sz w:val="20"/>
          <w:szCs w:val="20"/>
        </w:rPr>
      </w:pPr>
    </w:p>
    <w:p w14:paraId="6BFB57DE" w14:textId="77777777" w:rsidR="000A1AEA" w:rsidRDefault="000A1AEA" w:rsidP="000A1AEA">
      <w:pPr>
        <w:spacing w:after="0" w:line="240" w:lineRule="auto"/>
        <w:jc w:val="both"/>
        <w:rPr>
          <w:rFonts w:cs="Arial"/>
          <w:sz w:val="20"/>
          <w:szCs w:val="20"/>
        </w:rPr>
      </w:pPr>
      <w:r w:rsidRPr="000A1AEA">
        <w:rPr>
          <w:rFonts w:cs="Arial"/>
          <w:sz w:val="20"/>
          <w:szCs w:val="20"/>
        </w:rPr>
        <w:t>However, judgement has shifted to determining whether an economic relationship exists, whether credit risk dominates the resulting value changes and whether the designated hedge ratio creates an accounting outcome inconsistent with the purpose of hedge accounting.</w:t>
      </w:r>
    </w:p>
    <w:p w14:paraId="74068794" w14:textId="77777777" w:rsidR="000A1AEA" w:rsidRPr="000A1AEA" w:rsidRDefault="000A1AEA" w:rsidP="000A1AEA">
      <w:pPr>
        <w:spacing w:after="0" w:line="240" w:lineRule="auto"/>
        <w:jc w:val="both"/>
        <w:rPr>
          <w:rFonts w:cs="Arial"/>
          <w:sz w:val="20"/>
          <w:szCs w:val="20"/>
        </w:rPr>
      </w:pPr>
    </w:p>
    <w:p w14:paraId="2466E207" w14:textId="77777777" w:rsidR="000A1AEA" w:rsidRDefault="000A1AEA" w:rsidP="000A1AEA">
      <w:pPr>
        <w:spacing w:after="0" w:line="240" w:lineRule="auto"/>
        <w:jc w:val="both"/>
        <w:rPr>
          <w:rFonts w:cs="Arial"/>
          <w:sz w:val="20"/>
          <w:szCs w:val="20"/>
        </w:rPr>
      </w:pPr>
      <w:r w:rsidRPr="000A1AEA">
        <w:rPr>
          <w:rFonts w:cs="Arial"/>
          <w:sz w:val="20"/>
          <w:szCs w:val="20"/>
        </w:rPr>
        <w:t>The Standard is principles-based, but the operational application of those principles may still require quantitative analysis, valuation models and sensitivity calculations. As a result, some entities continue to perform extensive quantitative testing, even for relatively simple hedge relationships, to support the accounting conclusion and facilitate audit review.</w:t>
      </w:r>
    </w:p>
    <w:p w14:paraId="5089D543" w14:textId="77777777" w:rsidR="000A1AEA" w:rsidRPr="000A1AEA" w:rsidRDefault="000A1AEA" w:rsidP="000A1AEA">
      <w:pPr>
        <w:spacing w:after="0" w:line="240" w:lineRule="auto"/>
        <w:jc w:val="both"/>
        <w:rPr>
          <w:rFonts w:cs="Arial"/>
          <w:sz w:val="20"/>
          <w:szCs w:val="20"/>
        </w:rPr>
      </w:pPr>
    </w:p>
    <w:p w14:paraId="19F9DC1F" w14:textId="77777777" w:rsidR="000A1AEA" w:rsidRPr="000A1AEA" w:rsidRDefault="000A1AEA" w:rsidP="000A1AEA">
      <w:pPr>
        <w:spacing w:after="0" w:line="240" w:lineRule="auto"/>
        <w:jc w:val="both"/>
        <w:rPr>
          <w:rFonts w:cs="Arial"/>
          <w:sz w:val="20"/>
          <w:szCs w:val="20"/>
        </w:rPr>
      </w:pPr>
      <w:r w:rsidRPr="000A1AEA">
        <w:rPr>
          <w:rFonts w:cs="Arial"/>
          <w:sz w:val="20"/>
          <w:szCs w:val="20"/>
        </w:rPr>
        <w:t>There may also be different views as to the point at which an economic relationship becomes insufficient or credit risk begins to dominate the relationship.</w:t>
      </w:r>
    </w:p>
    <w:p w14:paraId="409EF3ED" w14:textId="77777777" w:rsidR="000A1AEA" w:rsidRDefault="000A1AEA" w:rsidP="000A1AEA">
      <w:pPr>
        <w:spacing w:after="0" w:line="240" w:lineRule="auto"/>
        <w:jc w:val="both"/>
        <w:rPr>
          <w:rFonts w:cs="Arial"/>
          <w:b/>
          <w:bCs/>
          <w:sz w:val="20"/>
          <w:szCs w:val="20"/>
        </w:rPr>
      </w:pPr>
    </w:p>
    <w:p w14:paraId="217E3FDF" w14:textId="52C73DE9"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0F1D21D5" w14:textId="77777777" w:rsidR="000A1AEA" w:rsidRDefault="000A1AEA" w:rsidP="000A1AEA">
      <w:pPr>
        <w:spacing w:after="0" w:line="240" w:lineRule="auto"/>
        <w:jc w:val="both"/>
        <w:rPr>
          <w:rFonts w:cs="Arial"/>
          <w:sz w:val="20"/>
          <w:szCs w:val="20"/>
        </w:rPr>
      </w:pPr>
    </w:p>
    <w:p w14:paraId="036500BE" w14:textId="2D00B499" w:rsidR="000A1AEA" w:rsidRPr="000A1AEA" w:rsidRDefault="000A1AEA" w:rsidP="000A1AEA">
      <w:pPr>
        <w:spacing w:after="0" w:line="240" w:lineRule="auto"/>
        <w:jc w:val="both"/>
        <w:rPr>
          <w:rFonts w:cs="Arial"/>
          <w:sz w:val="20"/>
          <w:szCs w:val="20"/>
        </w:rPr>
      </w:pPr>
      <w:r w:rsidRPr="000A1AEA">
        <w:rPr>
          <w:rFonts w:cs="Arial"/>
          <w:sz w:val="20"/>
          <w:szCs w:val="20"/>
        </w:rPr>
        <w:t>Additional illustrative guidance would be useful for:</w:t>
      </w:r>
    </w:p>
    <w:p w14:paraId="54DA2B60" w14:textId="77777777" w:rsidR="000A1AEA" w:rsidRPr="000A1AEA" w:rsidRDefault="000A1AEA" w:rsidP="000A1AEA">
      <w:pPr>
        <w:numPr>
          <w:ilvl w:val="0"/>
          <w:numId w:val="5"/>
        </w:numPr>
        <w:spacing w:after="0" w:line="240" w:lineRule="auto"/>
        <w:jc w:val="both"/>
        <w:rPr>
          <w:rFonts w:cs="Arial"/>
          <w:sz w:val="20"/>
          <w:szCs w:val="20"/>
        </w:rPr>
      </w:pPr>
      <w:r w:rsidRPr="000A1AEA">
        <w:rPr>
          <w:rFonts w:cs="Arial"/>
          <w:sz w:val="20"/>
          <w:szCs w:val="20"/>
        </w:rPr>
        <w:t>situations involving partial mismatch in critical terms;</w:t>
      </w:r>
    </w:p>
    <w:p w14:paraId="50BEDE1C" w14:textId="77777777" w:rsidR="000A1AEA" w:rsidRPr="000A1AEA" w:rsidRDefault="000A1AEA" w:rsidP="000A1AEA">
      <w:pPr>
        <w:numPr>
          <w:ilvl w:val="0"/>
          <w:numId w:val="5"/>
        </w:numPr>
        <w:spacing w:after="0" w:line="240" w:lineRule="auto"/>
        <w:jc w:val="both"/>
        <w:rPr>
          <w:rFonts w:cs="Arial"/>
          <w:sz w:val="20"/>
          <w:szCs w:val="20"/>
        </w:rPr>
      </w:pPr>
      <w:r w:rsidRPr="000A1AEA">
        <w:rPr>
          <w:rFonts w:cs="Arial"/>
          <w:sz w:val="20"/>
          <w:szCs w:val="20"/>
        </w:rPr>
        <w:t>timing differences between the hedged item and hedging instrument;</w:t>
      </w:r>
    </w:p>
    <w:p w14:paraId="455BC904" w14:textId="77777777" w:rsidR="000A1AEA" w:rsidRPr="000A1AEA" w:rsidRDefault="000A1AEA" w:rsidP="000A1AEA">
      <w:pPr>
        <w:numPr>
          <w:ilvl w:val="0"/>
          <w:numId w:val="5"/>
        </w:numPr>
        <w:spacing w:after="0" w:line="240" w:lineRule="auto"/>
        <w:jc w:val="both"/>
        <w:rPr>
          <w:rFonts w:cs="Arial"/>
          <w:sz w:val="20"/>
          <w:szCs w:val="20"/>
        </w:rPr>
      </w:pPr>
      <w:r w:rsidRPr="000A1AEA">
        <w:rPr>
          <w:rFonts w:cs="Arial"/>
          <w:sz w:val="20"/>
          <w:szCs w:val="20"/>
        </w:rPr>
        <w:t>contracts with different but economically related underlying variables;</w:t>
      </w:r>
    </w:p>
    <w:p w14:paraId="6D3B670E" w14:textId="77777777" w:rsidR="000A1AEA" w:rsidRPr="000A1AEA" w:rsidRDefault="000A1AEA" w:rsidP="000A1AEA">
      <w:pPr>
        <w:numPr>
          <w:ilvl w:val="0"/>
          <w:numId w:val="5"/>
        </w:numPr>
        <w:spacing w:after="0" w:line="240" w:lineRule="auto"/>
        <w:jc w:val="both"/>
        <w:rPr>
          <w:rFonts w:cs="Arial"/>
          <w:sz w:val="20"/>
          <w:szCs w:val="20"/>
        </w:rPr>
      </w:pPr>
      <w:r w:rsidRPr="000A1AEA">
        <w:rPr>
          <w:rFonts w:cs="Arial"/>
          <w:sz w:val="20"/>
          <w:szCs w:val="20"/>
        </w:rPr>
        <w:t>the effect of counterparty credit deterioration;</w:t>
      </w:r>
    </w:p>
    <w:p w14:paraId="1AED84AA" w14:textId="77777777" w:rsidR="000A1AEA" w:rsidRPr="000A1AEA" w:rsidRDefault="000A1AEA" w:rsidP="000A1AEA">
      <w:pPr>
        <w:numPr>
          <w:ilvl w:val="0"/>
          <w:numId w:val="5"/>
        </w:numPr>
        <w:spacing w:after="0" w:line="240" w:lineRule="auto"/>
        <w:jc w:val="both"/>
        <w:rPr>
          <w:rFonts w:cs="Arial"/>
          <w:sz w:val="20"/>
          <w:szCs w:val="20"/>
        </w:rPr>
      </w:pPr>
      <w:r w:rsidRPr="000A1AEA">
        <w:rPr>
          <w:rFonts w:cs="Arial"/>
          <w:sz w:val="20"/>
          <w:szCs w:val="20"/>
        </w:rPr>
        <w:t>hedges involving commodities traded in different markets or locations; and</w:t>
      </w:r>
    </w:p>
    <w:p w14:paraId="25073BE9" w14:textId="77777777" w:rsidR="000A1AEA" w:rsidRPr="000A1AEA" w:rsidRDefault="000A1AEA" w:rsidP="000A1AEA">
      <w:pPr>
        <w:numPr>
          <w:ilvl w:val="0"/>
          <w:numId w:val="5"/>
        </w:numPr>
        <w:spacing w:after="0" w:line="240" w:lineRule="auto"/>
        <w:jc w:val="both"/>
        <w:rPr>
          <w:rFonts w:cs="Arial"/>
          <w:sz w:val="20"/>
          <w:szCs w:val="20"/>
        </w:rPr>
      </w:pPr>
      <w:r w:rsidRPr="000A1AEA">
        <w:rPr>
          <w:rFonts w:cs="Arial"/>
          <w:sz w:val="20"/>
          <w:szCs w:val="20"/>
        </w:rPr>
        <w:t>circumstances in which a qualitative assessment is sufficient.</w:t>
      </w:r>
    </w:p>
    <w:p w14:paraId="1B296EAB" w14:textId="77777777" w:rsidR="000A1AEA" w:rsidRDefault="000A1AEA" w:rsidP="000A1AEA">
      <w:pPr>
        <w:spacing w:after="0" w:line="240" w:lineRule="auto"/>
        <w:jc w:val="both"/>
        <w:rPr>
          <w:rFonts w:cs="Arial"/>
          <w:sz w:val="20"/>
          <w:szCs w:val="20"/>
        </w:rPr>
      </w:pPr>
    </w:p>
    <w:p w14:paraId="21921E6E" w14:textId="6BA7B075" w:rsidR="000A1AEA" w:rsidRPr="000A1AEA" w:rsidRDefault="000A1AEA" w:rsidP="000A1AEA">
      <w:pPr>
        <w:spacing w:after="0" w:line="240" w:lineRule="auto"/>
        <w:jc w:val="both"/>
        <w:rPr>
          <w:rFonts w:cs="Arial"/>
          <w:sz w:val="20"/>
          <w:szCs w:val="20"/>
        </w:rPr>
      </w:pPr>
      <w:r w:rsidRPr="000A1AEA">
        <w:rPr>
          <w:rFonts w:cs="Arial"/>
          <w:sz w:val="20"/>
          <w:szCs w:val="20"/>
        </w:rPr>
        <w:t>This would reduce the risk of the principles-based model being converted in practice into an undocumented set of quantitative thresholds.</w:t>
      </w:r>
    </w:p>
    <w:p w14:paraId="7DA6320E" w14:textId="1F875AD5" w:rsidR="000A1AEA" w:rsidRPr="000A1AEA" w:rsidRDefault="000A1AEA" w:rsidP="000A1AEA">
      <w:pPr>
        <w:spacing w:after="0" w:line="240" w:lineRule="auto"/>
        <w:jc w:val="both"/>
        <w:rPr>
          <w:rFonts w:cs="Arial"/>
          <w:sz w:val="20"/>
          <w:szCs w:val="20"/>
        </w:rPr>
      </w:pPr>
    </w:p>
    <w:p w14:paraId="6BDB49F4"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4. Cost of Hedging</w:t>
      </w:r>
    </w:p>
    <w:p w14:paraId="71CD6DDA" w14:textId="77777777" w:rsidR="000A1AEA" w:rsidRDefault="000A1AEA" w:rsidP="000A1AEA">
      <w:pPr>
        <w:spacing w:after="0" w:line="240" w:lineRule="auto"/>
        <w:jc w:val="both"/>
        <w:rPr>
          <w:rFonts w:cs="Arial"/>
          <w:sz w:val="20"/>
          <w:szCs w:val="20"/>
        </w:rPr>
      </w:pPr>
    </w:p>
    <w:p w14:paraId="56B1140B" w14:textId="26B46683" w:rsidR="000A1AEA" w:rsidRDefault="000A1AEA" w:rsidP="000A1AEA">
      <w:pPr>
        <w:spacing w:after="0" w:line="240" w:lineRule="auto"/>
        <w:jc w:val="both"/>
        <w:rPr>
          <w:rFonts w:cs="Arial"/>
          <w:sz w:val="20"/>
          <w:szCs w:val="20"/>
        </w:rPr>
      </w:pPr>
      <w:r w:rsidRPr="000A1AEA">
        <w:rPr>
          <w:rFonts w:cs="Arial"/>
          <w:sz w:val="20"/>
          <w:szCs w:val="20"/>
        </w:rPr>
        <w:t>The cost of hedging approach provides a conceptually sound means of accounting for the time value of options, forward elements and foreign currency basis spreads. It prevents certain costs of obtaining protection from creating volatility that does not appropriately reflect the purpose of the hedge.</w:t>
      </w:r>
    </w:p>
    <w:p w14:paraId="188572A1" w14:textId="77777777" w:rsidR="000A1AEA" w:rsidRPr="000A1AEA" w:rsidRDefault="000A1AEA" w:rsidP="000A1AEA">
      <w:pPr>
        <w:spacing w:after="0" w:line="240" w:lineRule="auto"/>
        <w:jc w:val="both"/>
        <w:rPr>
          <w:rFonts w:cs="Arial"/>
          <w:sz w:val="20"/>
          <w:szCs w:val="20"/>
        </w:rPr>
      </w:pPr>
    </w:p>
    <w:p w14:paraId="625AD451" w14:textId="77777777" w:rsidR="000A1AEA" w:rsidRPr="000A1AEA" w:rsidRDefault="000A1AEA" w:rsidP="000A1AEA">
      <w:pPr>
        <w:spacing w:after="0" w:line="240" w:lineRule="auto"/>
        <w:jc w:val="both"/>
        <w:rPr>
          <w:rFonts w:cs="Arial"/>
          <w:sz w:val="20"/>
          <w:szCs w:val="20"/>
        </w:rPr>
      </w:pPr>
      <w:r w:rsidRPr="000A1AEA">
        <w:rPr>
          <w:rFonts w:cs="Arial"/>
          <w:sz w:val="20"/>
          <w:szCs w:val="20"/>
        </w:rPr>
        <w:t>The practical application can, however, be complex. Depending on the facts, entities may be required to:</w:t>
      </w:r>
    </w:p>
    <w:p w14:paraId="51901DF6" w14:textId="77777777" w:rsidR="000A1AEA" w:rsidRPr="000A1AEA" w:rsidRDefault="000A1AEA" w:rsidP="000A1AEA">
      <w:pPr>
        <w:numPr>
          <w:ilvl w:val="0"/>
          <w:numId w:val="6"/>
        </w:numPr>
        <w:spacing w:after="0" w:line="240" w:lineRule="auto"/>
        <w:jc w:val="both"/>
        <w:rPr>
          <w:rFonts w:cs="Arial"/>
          <w:sz w:val="20"/>
          <w:szCs w:val="20"/>
        </w:rPr>
      </w:pPr>
      <w:r w:rsidRPr="000A1AEA">
        <w:rPr>
          <w:rFonts w:cs="Arial"/>
          <w:sz w:val="20"/>
          <w:szCs w:val="20"/>
        </w:rPr>
        <w:t>separate the spot and forward elements of a forward contract;</w:t>
      </w:r>
    </w:p>
    <w:p w14:paraId="20DA4DD8" w14:textId="77777777" w:rsidR="000A1AEA" w:rsidRPr="000A1AEA" w:rsidRDefault="000A1AEA" w:rsidP="000A1AEA">
      <w:pPr>
        <w:numPr>
          <w:ilvl w:val="0"/>
          <w:numId w:val="6"/>
        </w:numPr>
        <w:spacing w:after="0" w:line="240" w:lineRule="auto"/>
        <w:jc w:val="both"/>
        <w:rPr>
          <w:rFonts w:cs="Arial"/>
          <w:sz w:val="20"/>
          <w:szCs w:val="20"/>
        </w:rPr>
      </w:pPr>
      <w:r w:rsidRPr="000A1AEA">
        <w:rPr>
          <w:rFonts w:cs="Arial"/>
          <w:sz w:val="20"/>
          <w:szCs w:val="20"/>
        </w:rPr>
        <w:t>separately account for the intrinsic value and time value of an option;</w:t>
      </w:r>
    </w:p>
    <w:p w14:paraId="71E92B63" w14:textId="77777777" w:rsidR="000A1AEA" w:rsidRPr="000A1AEA" w:rsidRDefault="000A1AEA" w:rsidP="000A1AEA">
      <w:pPr>
        <w:numPr>
          <w:ilvl w:val="0"/>
          <w:numId w:val="6"/>
        </w:numPr>
        <w:spacing w:after="0" w:line="240" w:lineRule="auto"/>
        <w:jc w:val="both"/>
        <w:rPr>
          <w:rFonts w:cs="Arial"/>
          <w:sz w:val="20"/>
          <w:szCs w:val="20"/>
        </w:rPr>
      </w:pPr>
      <w:r w:rsidRPr="000A1AEA">
        <w:rPr>
          <w:rFonts w:cs="Arial"/>
          <w:sz w:val="20"/>
          <w:szCs w:val="20"/>
        </w:rPr>
        <w:t>determine an aligned time value or aligned forward element;</w:t>
      </w:r>
    </w:p>
    <w:p w14:paraId="19325F97" w14:textId="77777777" w:rsidR="000A1AEA" w:rsidRPr="000A1AEA" w:rsidRDefault="000A1AEA" w:rsidP="000A1AEA">
      <w:pPr>
        <w:numPr>
          <w:ilvl w:val="0"/>
          <w:numId w:val="6"/>
        </w:numPr>
        <w:spacing w:after="0" w:line="240" w:lineRule="auto"/>
        <w:jc w:val="both"/>
        <w:rPr>
          <w:rFonts w:cs="Arial"/>
          <w:sz w:val="20"/>
          <w:szCs w:val="20"/>
        </w:rPr>
      </w:pPr>
      <w:r w:rsidRPr="000A1AEA">
        <w:rPr>
          <w:rFonts w:cs="Arial"/>
          <w:sz w:val="20"/>
          <w:szCs w:val="20"/>
        </w:rPr>
        <w:t>construct or value a hypothetical derivative;</w:t>
      </w:r>
    </w:p>
    <w:p w14:paraId="3C89E99D" w14:textId="77777777" w:rsidR="000A1AEA" w:rsidRPr="000A1AEA" w:rsidRDefault="000A1AEA" w:rsidP="000A1AEA">
      <w:pPr>
        <w:numPr>
          <w:ilvl w:val="0"/>
          <w:numId w:val="6"/>
        </w:numPr>
        <w:spacing w:after="0" w:line="240" w:lineRule="auto"/>
        <w:jc w:val="both"/>
        <w:rPr>
          <w:rFonts w:cs="Arial"/>
          <w:sz w:val="20"/>
          <w:szCs w:val="20"/>
        </w:rPr>
      </w:pPr>
      <w:r w:rsidRPr="000A1AEA">
        <w:rPr>
          <w:rFonts w:cs="Arial"/>
          <w:sz w:val="20"/>
          <w:szCs w:val="20"/>
        </w:rPr>
        <w:t>identify transaction-related and time period-related hedged items; and</w:t>
      </w:r>
    </w:p>
    <w:p w14:paraId="11D40A00" w14:textId="77777777" w:rsidR="000A1AEA" w:rsidRPr="000A1AEA" w:rsidRDefault="000A1AEA" w:rsidP="000A1AEA">
      <w:pPr>
        <w:numPr>
          <w:ilvl w:val="0"/>
          <w:numId w:val="6"/>
        </w:numPr>
        <w:spacing w:after="0" w:line="240" w:lineRule="auto"/>
        <w:jc w:val="both"/>
        <w:rPr>
          <w:rFonts w:cs="Arial"/>
          <w:sz w:val="20"/>
          <w:szCs w:val="20"/>
        </w:rPr>
      </w:pPr>
      <w:r w:rsidRPr="000A1AEA">
        <w:rPr>
          <w:rFonts w:cs="Arial"/>
          <w:sz w:val="20"/>
          <w:szCs w:val="20"/>
        </w:rPr>
        <w:t>maintain separate movements in reserves within equity.</w:t>
      </w:r>
    </w:p>
    <w:p w14:paraId="4586DF5D" w14:textId="77777777" w:rsidR="000A1AEA" w:rsidRDefault="000A1AEA" w:rsidP="000A1AEA">
      <w:pPr>
        <w:spacing w:after="0" w:line="240" w:lineRule="auto"/>
        <w:jc w:val="both"/>
        <w:rPr>
          <w:rFonts w:cs="Arial"/>
          <w:sz w:val="20"/>
          <w:szCs w:val="20"/>
        </w:rPr>
      </w:pPr>
    </w:p>
    <w:p w14:paraId="0E904CF0" w14:textId="528B4FF2" w:rsidR="000A1AEA" w:rsidRDefault="000A1AEA" w:rsidP="000A1AEA">
      <w:pPr>
        <w:spacing w:after="0" w:line="240" w:lineRule="auto"/>
        <w:jc w:val="both"/>
        <w:rPr>
          <w:rFonts w:cs="Arial"/>
          <w:sz w:val="20"/>
          <w:szCs w:val="20"/>
        </w:rPr>
      </w:pPr>
      <w:r w:rsidRPr="000A1AEA">
        <w:rPr>
          <w:rFonts w:cs="Arial"/>
          <w:sz w:val="20"/>
          <w:szCs w:val="20"/>
        </w:rPr>
        <w:t>These calculations may require valuation expertise and system capabilities that are not readily available to all non-financial entities. Where the required data are not generated directly by the treasury or accounting system, the calculations are often performed through spreadsheets or external valuation support.</w:t>
      </w:r>
    </w:p>
    <w:p w14:paraId="796E9A16" w14:textId="77777777" w:rsidR="000A1AEA" w:rsidRPr="000A1AEA" w:rsidRDefault="000A1AEA" w:rsidP="000A1AEA">
      <w:pPr>
        <w:spacing w:after="0" w:line="240" w:lineRule="auto"/>
        <w:jc w:val="both"/>
        <w:rPr>
          <w:rFonts w:cs="Arial"/>
          <w:sz w:val="20"/>
          <w:szCs w:val="20"/>
        </w:rPr>
      </w:pPr>
    </w:p>
    <w:p w14:paraId="50E449BC" w14:textId="77777777" w:rsidR="000A1AEA" w:rsidRPr="000A1AEA" w:rsidRDefault="000A1AEA" w:rsidP="000A1AEA">
      <w:pPr>
        <w:spacing w:after="0" w:line="240" w:lineRule="auto"/>
        <w:jc w:val="both"/>
        <w:rPr>
          <w:rFonts w:cs="Arial"/>
          <w:sz w:val="20"/>
          <w:szCs w:val="20"/>
        </w:rPr>
      </w:pPr>
      <w:r w:rsidRPr="000A1AEA">
        <w:rPr>
          <w:rFonts w:cs="Arial"/>
          <w:sz w:val="20"/>
          <w:szCs w:val="20"/>
        </w:rPr>
        <w:t>The resulting cost is not limited to the initial implementation. Models, valuation inputs, accounting entries and reserve movements require periodic preparation, review, reconciliation and audit.</w:t>
      </w:r>
    </w:p>
    <w:p w14:paraId="3E86704B" w14:textId="77777777" w:rsidR="000A1AEA" w:rsidRDefault="000A1AEA" w:rsidP="000A1AEA">
      <w:pPr>
        <w:spacing w:after="0" w:line="240" w:lineRule="auto"/>
        <w:jc w:val="both"/>
        <w:rPr>
          <w:rFonts w:cs="Arial"/>
          <w:b/>
          <w:bCs/>
          <w:sz w:val="20"/>
          <w:szCs w:val="20"/>
        </w:rPr>
      </w:pPr>
    </w:p>
    <w:p w14:paraId="60ED9420" w14:textId="231A2EE9"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6EF4031A" w14:textId="77777777" w:rsidR="000A1AEA" w:rsidRDefault="000A1AEA" w:rsidP="000A1AEA">
      <w:pPr>
        <w:spacing w:after="0" w:line="240" w:lineRule="auto"/>
        <w:jc w:val="both"/>
        <w:rPr>
          <w:rFonts w:cs="Arial"/>
          <w:sz w:val="20"/>
          <w:szCs w:val="20"/>
        </w:rPr>
      </w:pPr>
    </w:p>
    <w:p w14:paraId="15587FDF" w14:textId="468ECA4F" w:rsidR="000A1AEA" w:rsidRPr="000A1AEA" w:rsidRDefault="000A1AEA" w:rsidP="000A1AEA">
      <w:pPr>
        <w:spacing w:after="0" w:line="240" w:lineRule="auto"/>
        <w:jc w:val="both"/>
        <w:rPr>
          <w:rFonts w:cs="Arial"/>
          <w:sz w:val="20"/>
          <w:szCs w:val="20"/>
        </w:rPr>
      </w:pPr>
      <w:r w:rsidRPr="000A1AEA">
        <w:rPr>
          <w:rFonts w:cs="Arial"/>
          <w:sz w:val="20"/>
          <w:szCs w:val="20"/>
        </w:rPr>
        <w:t>The IASB may consider:</w:t>
      </w:r>
    </w:p>
    <w:p w14:paraId="7F2E453B" w14:textId="77777777" w:rsidR="000A1AEA" w:rsidRPr="000A1AEA" w:rsidRDefault="000A1AEA" w:rsidP="000A1AEA">
      <w:pPr>
        <w:numPr>
          <w:ilvl w:val="0"/>
          <w:numId w:val="7"/>
        </w:numPr>
        <w:spacing w:after="0" w:line="240" w:lineRule="auto"/>
        <w:jc w:val="both"/>
        <w:rPr>
          <w:rFonts w:cs="Arial"/>
          <w:sz w:val="20"/>
          <w:szCs w:val="20"/>
        </w:rPr>
      </w:pPr>
      <w:r w:rsidRPr="000A1AEA">
        <w:rPr>
          <w:rFonts w:cs="Arial"/>
          <w:sz w:val="20"/>
          <w:szCs w:val="20"/>
        </w:rPr>
        <w:t>providing simpler examples explaining the distinction between transaction-related and time period-related hedged items;</w:t>
      </w:r>
    </w:p>
    <w:p w14:paraId="2D22E39E" w14:textId="77777777" w:rsidR="000A1AEA" w:rsidRPr="000A1AEA" w:rsidRDefault="000A1AEA" w:rsidP="000A1AEA">
      <w:pPr>
        <w:numPr>
          <w:ilvl w:val="0"/>
          <w:numId w:val="7"/>
        </w:numPr>
        <w:spacing w:after="0" w:line="240" w:lineRule="auto"/>
        <w:jc w:val="both"/>
        <w:rPr>
          <w:rFonts w:cs="Arial"/>
          <w:sz w:val="20"/>
          <w:szCs w:val="20"/>
        </w:rPr>
      </w:pPr>
      <w:r w:rsidRPr="000A1AEA">
        <w:rPr>
          <w:rFonts w:cs="Arial"/>
          <w:sz w:val="20"/>
          <w:szCs w:val="20"/>
        </w:rPr>
        <w:t>providing clearer guidance on the construction of an aligned hypothetical derivative;</w:t>
      </w:r>
    </w:p>
    <w:p w14:paraId="2E82EF8E" w14:textId="77777777" w:rsidR="000A1AEA" w:rsidRPr="000A1AEA" w:rsidRDefault="000A1AEA" w:rsidP="000A1AEA">
      <w:pPr>
        <w:numPr>
          <w:ilvl w:val="0"/>
          <w:numId w:val="7"/>
        </w:numPr>
        <w:spacing w:after="0" w:line="240" w:lineRule="auto"/>
        <w:jc w:val="both"/>
        <w:rPr>
          <w:rFonts w:cs="Arial"/>
          <w:sz w:val="20"/>
          <w:szCs w:val="20"/>
        </w:rPr>
      </w:pPr>
      <w:r w:rsidRPr="000A1AEA">
        <w:rPr>
          <w:rFonts w:cs="Arial"/>
          <w:sz w:val="20"/>
          <w:szCs w:val="20"/>
        </w:rPr>
        <w:t>considering practical expedients for straightforward foreign exchange and commodity hedges;</w:t>
      </w:r>
    </w:p>
    <w:p w14:paraId="702CD52D" w14:textId="77777777" w:rsidR="000A1AEA" w:rsidRPr="000A1AEA" w:rsidRDefault="000A1AEA" w:rsidP="000A1AEA">
      <w:pPr>
        <w:numPr>
          <w:ilvl w:val="0"/>
          <w:numId w:val="7"/>
        </w:numPr>
        <w:spacing w:after="0" w:line="240" w:lineRule="auto"/>
        <w:jc w:val="both"/>
        <w:rPr>
          <w:rFonts w:cs="Arial"/>
          <w:sz w:val="20"/>
          <w:szCs w:val="20"/>
        </w:rPr>
      </w:pPr>
      <w:r w:rsidRPr="000A1AEA">
        <w:rPr>
          <w:rFonts w:cs="Arial"/>
          <w:sz w:val="20"/>
          <w:szCs w:val="20"/>
        </w:rPr>
        <w:lastRenderedPageBreak/>
        <w:t>clarifying the treatment where the actual derivative and hypothetical derivative differ because of features that are not relevant to the hedged risk; and</w:t>
      </w:r>
    </w:p>
    <w:p w14:paraId="02FB2134" w14:textId="77777777" w:rsidR="000A1AEA" w:rsidRPr="000A1AEA" w:rsidRDefault="000A1AEA" w:rsidP="000A1AEA">
      <w:pPr>
        <w:numPr>
          <w:ilvl w:val="0"/>
          <w:numId w:val="7"/>
        </w:numPr>
        <w:spacing w:after="0" w:line="240" w:lineRule="auto"/>
        <w:jc w:val="both"/>
        <w:rPr>
          <w:rFonts w:cs="Arial"/>
          <w:sz w:val="20"/>
          <w:szCs w:val="20"/>
        </w:rPr>
      </w:pPr>
      <w:r w:rsidRPr="000A1AEA">
        <w:rPr>
          <w:rFonts w:cs="Arial"/>
          <w:sz w:val="20"/>
          <w:szCs w:val="20"/>
        </w:rPr>
        <w:t>considering whether simplified methods may be permitted where any difference would not materially affect the financial statements.</w:t>
      </w:r>
    </w:p>
    <w:p w14:paraId="6F73C7BF" w14:textId="77777777" w:rsidR="000A1AEA" w:rsidRDefault="000A1AEA" w:rsidP="000A1AEA">
      <w:pPr>
        <w:spacing w:after="0" w:line="240" w:lineRule="auto"/>
        <w:jc w:val="both"/>
        <w:rPr>
          <w:rFonts w:cs="Arial"/>
          <w:sz w:val="20"/>
          <w:szCs w:val="20"/>
        </w:rPr>
      </w:pPr>
    </w:p>
    <w:p w14:paraId="7735731F" w14:textId="2227E473" w:rsidR="000A1AEA" w:rsidRPr="000A1AEA" w:rsidRDefault="000A1AEA" w:rsidP="000A1AEA">
      <w:pPr>
        <w:spacing w:after="0" w:line="240" w:lineRule="auto"/>
        <w:jc w:val="both"/>
        <w:rPr>
          <w:rFonts w:cs="Arial"/>
          <w:sz w:val="20"/>
          <w:szCs w:val="20"/>
        </w:rPr>
      </w:pPr>
      <w:r w:rsidRPr="000A1AEA">
        <w:rPr>
          <w:rFonts w:cs="Arial"/>
          <w:sz w:val="20"/>
          <w:szCs w:val="20"/>
        </w:rPr>
        <w:t>The objective should be to retain the economic rationale of the cost of hedging approach while reducing calculation and tracking requirements that do not provide a proportionate benefit to users.</w:t>
      </w:r>
    </w:p>
    <w:p w14:paraId="588E650C" w14:textId="47C2DE87" w:rsidR="000A1AEA" w:rsidRPr="000A1AEA" w:rsidRDefault="000A1AEA" w:rsidP="000A1AEA">
      <w:pPr>
        <w:spacing w:after="0" w:line="240" w:lineRule="auto"/>
        <w:jc w:val="both"/>
        <w:rPr>
          <w:rFonts w:cs="Arial"/>
          <w:sz w:val="20"/>
          <w:szCs w:val="20"/>
        </w:rPr>
      </w:pPr>
    </w:p>
    <w:p w14:paraId="69C766C8"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5. Rebalancing</w:t>
      </w:r>
    </w:p>
    <w:p w14:paraId="34765FC7" w14:textId="77777777" w:rsidR="000A1AEA" w:rsidRDefault="000A1AEA" w:rsidP="000A1AEA">
      <w:pPr>
        <w:spacing w:after="0" w:line="240" w:lineRule="auto"/>
        <w:jc w:val="both"/>
        <w:rPr>
          <w:rFonts w:cs="Arial"/>
          <w:sz w:val="20"/>
          <w:szCs w:val="20"/>
        </w:rPr>
      </w:pPr>
    </w:p>
    <w:p w14:paraId="21BEF64D" w14:textId="19DFA980" w:rsidR="000A1AEA" w:rsidRDefault="000A1AEA" w:rsidP="000A1AEA">
      <w:pPr>
        <w:spacing w:after="0" w:line="240" w:lineRule="auto"/>
        <w:jc w:val="both"/>
        <w:rPr>
          <w:rFonts w:cs="Arial"/>
          <w:sz w:val="20"/>
          <w:szCs w:val="20"/>
        </w:rPr>
      </w:pPr>
      <w:r w:rsidRPr="000A1AEA">
        <w:rPr>
          <w:rFonts w:cs="Arial"/>
          <w:sz w:val="20"/>
          <w:szCs w:val="20"/>
        </w:rPr>
        <w:t>Rebalancing was introduced to allow the hedge ratio to be adjusted without discontinuing an otherwise continuing risk management relationship. Conceptually, this is preferable to the automatic discontinuation and redesignation that could occur under IAS 39.</w:t>
      </w:r>
    </w:p>
    <w:p w14:paraId="44A9C2F9" w14:textId="77777777" w:rsidR="000A1AEA" w:rsidRPr="000A1AEA" w:rsidRDefault="000A1AEA" w:rsidP="000A1AEA">
      <w:pPr>
        <w:spacing w:after="0" w:line="240" w:lineRule="auto"/>
        <w:jc w:val="both"/>
        <w:rPr>
          <w:rFonts w:cs="Arial"/>
          <w:sz w:val="20"/>
          <w:szCs w:val="20"/>
        </w:rPr>
      </w:pPr>
    </w:p>
    <w:p w14:paraId="35FBB42D" w14:textId="77777777" w:rsidR="000A1AEA" w:rsidRPr="000A1AEA" w:rsidRDefault="000A1AEA" w:rsidP="000A1AEA">
      <w:pPr>
        <w:spacing w:after="0" w:line="240" w:lineRule="auto"/>
        <w:jc w:val="both"/>
        <w:rPr>
          <w:rFonts w:cs="Arial"/>
          <w:sz w:val="20"/>
          <w:szCs w:val="20"/>
        </w:rPr>
      </w:pPr>
      <w:r w:rsidRPr="000A1AEA">
        <w:rPr>
          <w:rFonts w:cs="Arial"/>
          <w:sz w:val="20"/>
          <w:szCs w:val="20"/>
        </w:rPr>
        <w:t>In practice, however, rebalancing is not used as frequently as might have been expected. This appears to arise from uncertainty regarding:</w:t>
      </w:r>
    </w:p>
    <w:p w14:paraId="143BF1C6" w14:textId="77777777" w:rsidR="000A1AEA" w:rsidRPr="000A1AEA" w:rsidRDefault="000A1AEA" w:rsidP="000A1AEA">
      <w:pPr>
        <w:numPr>
          <w:ilvl w:val="0"/>
          <w:numId w:val="8"/>
        </w:numPr>
        <w:spacing w:after="0" w:line="240" w:lineRule="auto"/>
        <w:jc w:val="both"/>
        <w:rPr>
          <w:rFonts w:cs="Arial"/>
          <w:sz w:val="20"/>
          <w:szCs w:val="20"/>
        </w:rPr>
      </w:pPr>
      <w:r w:rsidRPr="000A1AEA">
        <w:rPr>
          <w:rFonts w:cs="Arial"/>
          <w:sz w:val="20"/>
          <w:szCs w:val="20"/>
        </w:rPr>
        <w:t>the circumstances in which rebalancing is required;</w:t>
      </w:r>
    </w:p>
    <w:p w14:paraId="5AB70116" w14:textId="77777777" w:rsidR="000A1AEA" w:rsidRPr="000A1AEA" w:rsidRDefault="000A1AEA" w:rsidP="000A1AEA">
      <w:pPr>
        <w:numPr>
          <w:ilvl w:val="0"/>
          <w:numId w:val="8"/>
        </w:numPr>
        <w:spacing w:after="0" w:line="240" w:lineRule="auto"/>
        <w:jc w:val="both"/>
        <w:rPr>
          <w:rFonts w:cs="Arial"/>
          <w:sz w:val="20"/>
          <w:szCs w:val="20"/>
        </w:rPr>
      </w:pPr>
      <w:r w:rsidRPr="000A1AEA">
        <w:rPr>
          <w:rFonts w:cs="Arial"/>
          <w:sz w:val="20"/>
          <w:szCs w:val="20"/>
        </w:rPr>
        <w:t>the distinction between rebalancing and a change in the risk management objective;</w:t>
      </w:r>
    </w:p>
    <w:p w14:paraId="39B17FC3" w14:textId="77777777" w:rsidR="000A1AEA" w:rsidRPr="000A1AEA" w:rsidRDefault="000A1AEA" w:rsidP="000A1AEA">
      <w:pPr>
        <w:numPr>
          <w:ilvl w:val="0"/>
          <w:numId w:val="8"/>
        </w:numPr>
        <w:spacing w:after="0" w:line="240" w:lineRule="auto"/>
        <w:jc w:val="both"/>
        <w:rPr>
          <w:rFonts w:cs="Arial"/>
          <w:sz w:val="20"/>
          <w:szCs w:val="20"/>
        </w:rPr>
      </w:pPr>
      <w:r w:rsidRPr="000A1AEA">
        <w:rPr>
          <w:rFonts w:cs="Arial"/>
          <w:sz w:val="20"/>
          <w:szCs w:val="20"/>
        </w:rPr>
        <w:t>the measurement of hedge ineffectiveness immediately before rebalancing;</w:t>
      </w:r>
    </w:p>
    <w:p w14:paraId="697F1C5A" w14:textId="77777777" w:rsidR="000A1AEA" w:rsidRPr="000A1AEA" w:rsidRDefault="000A1AEA" w:rsidP="000A1AEA">
      <w:pPr>
        <w:numPr>
          <w:ilvl w:val="0"/>
          <w:numId w:val="8"/>
        </w:numPr>
        <w:spacing w:after="0" w:line="240" w:lineRule="auto"/>
        <w:jc w:val="both"/>
        <w:rPr>
          <w:rFonts w:cs="Arial"/>
          <w:sz w:val="20"/>
          <w:szCs w:val="20"/>
        </w:rPr>
      </w:pPr>
      <w:r w:rsidRPr="000A1AEA">
        <w:rPr>
          <w:rFonts w:cs="Arial"/>
          <w:sz w:val="20"/>
          <w:szCs w:val="20"/>
        </w:rPr>
        <w:t>the accounting treatment of changes in the quantities of the hedged item or hedging instrument; and</w:t>
      </w:r>
    </w:p>
    <w:p w14:paraId="4C6F9198" w14:textId="77777777" w:rsidR="000A1AEA" w:rsidRPr="000A1AEA" w:rsidRDefault="000A1AEA" w:rsidP="000A1AEA">
      <w:pPr>
        <w:numPr>
          <w:ilvl w:val="0"/>
          <w:numId w:val="8"/>
        </w:numPr>
        <w:spacing w:after="0" w:line="240" w:lineRule="auto"/>
        <w:jc w:val="both"/>
        <w:rPr>
          <w:rFonts w:cs="Arial"/>
          <w:sz w:val="20"/>
          <w:szCs w:val="20"/>
        </w:rPr>
      </w:pPr>
      <w:r w:rsidRPr="000A1AEA">
        <w:rPr>
          <w:rFonts w:cs="Arial"/>
          <w:sz w:val="20"/>
          <w:szCs w:val="20"/>
        </w:rPr>
        <w:t>the documentation required at the date of rebalancing.</w:t>
      </w:r>
    </w:p>
    <w:p w14:paraId="69A94DEF" w14:textId="77777777" w:rsidR="000A1AEA" w:rsidRDefault="000A1AEA" w:rsidP="000A1AEA">
      <w:pPr>
        <w:spacing w:after="0" w:line="240" w:lineRule="auto"/>
        <w:jc w:val="both"/>
        <w:rPr>
          <w:rFonts w:cs="Arial"/>
          <w:sz w:val="20"/>
          <w:szCs w:val="20"/>
        </w:rPr>
      </w:pPr>
    </w:p>
    <w:p w14:paraId="6F315972" w14:textId="3FA9A199" w:rsidR="000A1AEA" w:rsidRPr="000A1AEA" w:rsidRDefault="000A1AEA" w:rsidP="000A1AEA">
      <w:pPr>
        <w:spacing w:after="0" w:line="240" w:lineRule="auto"/>
        <w:jc w:val="both"/>
        <w:rPr>
          <w:rFonts w:cs="Arial"/>
          <w:sz w:val="20"/>
          <w:szCs w:val="20"/>
        </w:rPr>
      </w:pPr>
      <w:r w:rsidRPr="000A1AEA">
        <w:rPr>
          <w:rFonts w:cs="Arial"/>
          <w:sz w:val="20"/>
          <w:szCs w:val="20"/>
        </w:rPr>
        <w:t>Where risk management practices change, entities may find it more straightforward to discontinue the existing relationship and designate a new relationship, notwithstanding that the underlying risk management objective may substantially continue.</w:t>
      </w:r>
    </w:p>
    <w:p w14:paraId="20C189CA" w14:textId="77777777" w:rsidR="000A1AEA" w:rsidRDefault="000A1AEA" w:rsidP="000A1AEA">
      <w:pPr>
        <w:spacing w:after="0" w:line="240" w:lineRule="auto"/>
        <w:jc w:val="both"/>
        <w:rPr>
          <w:rFonts w:cs="Arial"/>
          <w:b/>
          <w:bCs/>
          <w:sz w:val="20"/>
          <w:szCs w:val="20"/>
        </w:rPr>
      </w:pPr>
    </w:p>
    <w:p w14:paraId="53415376" w14:textId="1F1FC47C"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2B5776BC" w14:textId="77777777" w:rsidR="000A1AEA" w:rsidRDefault="000A1AEA" w:rsidP="000A1AEA">
      <w:pPr>
        <w:spacing w:after="0" w:line="240" w:lineRule="auto"/>
        <w:jc w:val="both"/>
        <w:rPr>
          <w:rFonts w:cs="Arial"/>
          <w:sz w:val="20"/>
          <w:szCs w:val="20"/>
        </w:rPr>
      </w:pPr>
    </w:p>
    <w:p w14:paraId="0C2BC92F" w14:textId="3BCFBB76" w:rsidR="000A1AEA" w:rsidRPr="000A1AEA" w:rsidRDefault="000A1AEA" w:rsidP="000A1AEA">
      <w:pPr>
        <w:spacing w:after="0" w:line="240" w:lineRule="auto"/>
        <w:jc w:val="both"/>
        <w:rPr>
          <w:rFonts w:cs="Arial"/>
          <w:sz w:val="20"/>
          <w:szCs w:val="20"/>
        </w:rPr>
      </w:pPr>
      <w:r w:rsidRPr="000A1AEA">
        <w:rPr>
          <w:rFonts w:cs="Arial"/>
          <w:sz w:val="20"/>
          <w:szCs w:val="20"/>
        </w:rPr>
        <w:t>The IASB may consider providing comprehensive numerical examples covering:</w:t>
      </w:r>
    </w:p>
    <w:p w14:paraId="06D1D875" w14:textId="77777777" w:rsidR="000A1AEA" w:rsidRPr="000A1AEA" w:rsidRDefault="000A1AEA" w:rsidP="000A1AEA">
      <w:pPr>
        <w:numPr>
          <w:ilvl w:val="0"/>
          <w:numId w:val="9"/>
        </w:numPr>
        <w:spacing w:after="0" w:line="240" w:lineRule="auto"/>
        <w:jc w:val="both"/>
        <w:rPr>
          <w:rFonts w:cs="Arial"/>
          <w:sz w:val="20"/>
          <w:szCs w:val="20"/>
        </w:rPr>
      </w:pPr>
      <w:r w:rsidRPr="000A1AEA">
        <w:rPr>
          <w:rFonts w:cs="Arial"/>
          <w:sz w:val="20"/>
          <w:szCs w:val="20"/>
        </w:rPr>
        <w:t>changes in the quantity of the hedged item;</w:t>
      </w:r>
    </w:p>
    <w:p w14:paraId="3B69C5D0" w14:textId="77777777" w:rsidR="000A1AEA" w:rsidRPr="000A1AEA" w:rsidRDefault="000A1AEA" w:rsidP="000A1AEA">
      <w:pPr>
        <w:numPr>
          <w:ilvl w:val="0"/>
          <w:numId w:val="9"/>
        </w:numPr>
        <w:spacing w:after="0" w:line="240" w:lineRule="auto"/>
        <w:jc w:val="both"/>
        <w:rPr>
          <w:rFonts w:cs="Arial"/>
          <w:sz w:val="20"/>
          <w:szCs w:val="20"/>
        </w:rPr>
      </w:pPr>
      <w:r w:rsidRPr="000A1AEA">
        <w:rPr>
          <w:rFonts w:cs="Arial"/>
          <w:sz w:val="20"/>
          <w:szCs w:val="20"/>
        </w:rPr>
        <w:t>changes in the quantity of the hedging instrument;</w:t>
      </w:r>
    </w:p>
    <w:p w14:paraId="63D69713" w14:textId="77777777" w:rsidR="000A1AEA" w:rsidRPr="000A1AEA" w:rsidRDefault="000A1AEA" w:rsidP="000A1AEA">
      <w:pPr>
        <w:numPr>
          <w:ilvl w:val="0"/>
          <w:numId w:val="9"/>
        </w:numPr>
        <w:spacing w:after="0" w:line="240" w:lineRule="auto"/>
        <w:jc w:val="both"/>
        <w:rPr>
          <w:rFonts w:cs="Arial"/>
          <w:sz w:val="20"/>
          <w:szCs w:val="20"/>
        </w:rPr>
      </w:pPr>
      <w:r w:rsidRPr="000A1AEA">
        <w:rPr>
          <w:rFonts w:cs="Arial"/>
          <w:sz w:val="20"/>
          <w:szCs w:val="20"/>
        </w:rPr>
        <w:t>partial reduction of an exposure;</w:t>
      </w:r>
    </w:p>
    <w:p w14:paraId="3A6E9DED" w14:textId="77777777" w:rsidR="000A1AEA" w:rsidRPr="000A1AEA" w:rsidRDefault="000A1AEA" w:rsidP="000A1AEA">
      <w:pPr>
        <w:numPr>
          <w:ilvl w:val="0"/>
          <w:numId w:val="9"/>
        </w:numPr>
        <w:spacing w:after="0" w:line="240" w:lineRule="auto"/>
        <w:jc w:val="both"/>
        <w:rPr>
          <w:rFonts w:cs="Arial"/>
          <w:sz w:val="20"/>
          <w:szCs w:val="20"/>
        </w:rPr>
      </w:pPr>
      <w:r w:rsidRPr="000A1AEA">
        <w:rPr>
          <w:rFonts w:cs="Arial"/>
          <w:sz w:val="20"/>
          <w:szCs w:val="20"/>
        </w:rPr>
        <w:t>changes caused by movements in the relationship between two underlying variables;</w:t>
      </w:r>
    </w:p>
    <w:p w14:paraId="40AD67C3" w14:textId="77777777" w:rsidR="000A1AEA" w:rsidRPr="000A1AEA" w:rsidRDefault="000A1AEA" w:rsidP="000A1AEA">
      <w:pPr>
        <w:numPr>
          <w:ilvl w:val="0"/>
          <w:numId w:val="9"/>
        </w:numPr>
        <w:spacing w:after="0" w:line="240" w:lineRule="auto"/>
        <w:jc w:val="both"/>
        <w:rPr>
          <w:rFonts w:cs="Arial"/>
          <w:sz w:val="20"/>
          <w:szCs w:val="20"/>
        </w:rPr>
      </w:pPr>
      <w:r w:rsidRPr="000A1AEA">
        <w:rPr>
          <w:rFonts w:cs="Arial"/>
          <w:sz w:val="20"/>
          <w:szCs w:val="20"/>
        </w:rPr>
        <w:t>rebalancing of commodity hedges; and</w:t>
      </w:r>
    </w:p>
    <w:p w14:paraId="57727570" w14:textId="77777777" w:rsidR="000A1AEA" w:rsidRPr="000A1AEA" w:rsidRDefault="000A1AEA" w:rsidP="000A1AEA">
      <w:pPr>
        <w:numPr>
          <w:ilvl w:val="0"/>
          <w:numId w:val="9"/>
        </w:numPr>
        <w:spacing w:after="0" w:line="240" w:lineRule="auto"/>
        <w:jc w:val="both"/>
        <w:rPr>
          <w:rFonts w:cs="Arial"/>
          <w:sz w:val="20"/>
          <w:szCs w:val="20"/>
        </w:rPr>
      </w:pPr>
      <w:r w:rsidRPr="000A1AEA">
        <w:rPr>
          <w:rFonts w:cs="Arial"/>
          <w:sz w:val="20"/>
          <w:szCs w:val="20"/>
        </w:rPr>
        <w:t>the distinction between rebalancing, partial discontinuation and complete discontinuation.</w:t>
      </w:r>
    </w:p>
    <w:p w14:paraId="3059CA69" w14:textId="77777777" w:rsidR="000A1AEA" w:rsidRDefault="000A1AEA" w:rsidP="000A1AEA">
      <w:pPr>
        <w:spacing w:after="0" w:line="240" w:lineRule="auto"/>
        <w:jc w:val="both"/>
        <w:rPr>
          <w:rFonts w:cs="Arial"/>
          <w:sz w:val="20"/>
          <w:szCs w:val="20"/>
        </w:rPr>
      </w:pPr>
    </w:p>
    <w:p w14:paraId="5D101C1B" w14:textId="5572CE1B" w:rsidR="000A1AEA" w:rsidRPr="000A1AEA" w:rsidRDefault="000A1AEA" w:rsidP="000A1AEA">
      <w:pPr>
        <w:spacing w:after="0" w:line="240" w:lineRule="auto"/>
        <w:jc w:val="both"/>
        <w:rPr>
          <w:rFonts w:cs="Arial"/>
          <w:sz w:val="20"/>
          <w:szCs w:val="20"/>
        </w:rPr>
      </w:pPr>
      <w:r w:rsidRPr="000A1AEA">
        <w:rPr>
          <w:rFonts w:cs="Arial"/>
          <w:sz w:val="20"/>
          <w:szCs w:val="20"/>
        </w:rPr>
        <w:t>The guidance should also clarify the minimum documentation expected where rebalancing does not represent a new risk management objective.</w:t>
      </w:r>
    </w:p>
    <w:p w14:paraId="4E133084" w14:textId="7FB6E77F" w:rsidR="000A1AEA" w:rsidRPr="000A1AEA" w:rsidRDefault="000A1AEA" w:rsidP="000A1AEA">
      <w:pPr>
        <w:spacing w:after="0" w:line="240" w:lineRule="auto"/>
        <w:jc w:val="both"/>
        <w:rPr>
          <w:rFonts w:cs="Arial"/>
          <w:sz w:val="20"/>
          <w:szCs w:val="20"/>
        </w:rPr>
      </w:pPr>
    </w:p>
    <w:p w14:paraId="513929B2"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6. Prohibition on Voluntary De-designation</w:t>
      </w:r>
    </w:p>
    <w:p w14:paraId="5E134DF0" w14:textId="77777777" w:rsidR="000A1AEA" w:rsidRPr="000A1AEA" w:rsidRDefault="000A1AEA" w:rsidP="000A1AEA">
      <w:pPr>
        <w:spacing w:after="0" w:line="240" w:lineRule="auto"/>
        <w:jc w:val="both"/>
        <w:rPr>
          <w:rFonts w:cs="Arial"/>
          <w:sz w:val="8"/>
          <w:szCs w:val="8"/>
        </w:rPr>
      </w:pPr>
    </w:p>
    <w:p w14:paraId="1901612A" w14:textId="26DBECAC" w:rsidR="000A1AEA" w:rsidRDefault="000A1AEA" w:rsidP="000A1AEA">
      <w:pPr>
        <w:spacing w:after="0" w:line="240" w:lineRule="auto"/>
        <w:jc w:val="both"/>
        <w:rPr>
          <w:rFonts w:cs="Arial"/>
          <w:sz w:val="20"/>
          <w:szCs w:val="20"/>
        </w:rPr>
      </w:pPr>
      <w:r w:rsidRPr="000A1AEA">
        <w:rPr>
          <w:rFonts w:cs="Arial"/>
          <w:sz w:val="20"/>
          <w:szCs w:val="20"/>
        </w:rPr>
        <w:t>The prohibition on voluntary de-designation is consistent with the principle that hedge accounting should reflect the entity’s continuing risk management objective. It prevents entities from selectively discontinuing hedge accounting solely to achieve a preferred accounting result.</w:t>
      </w:r>
    </w:p>
    <w:p w14:paraId="4A4EE609" w14:textId="77777777" w:rsidR="000A1AEA" w:rsidRPr="000A1AEA" w:rsidRDefault="000A1AEA" w:rsidP="000A1AEA">
      <w:pPr>
        <w:spacing w:after="0" w:line="240" w:lineRule="auto"/>
        <w:jc w:val="both"/>
        <w:rPr>
          <w:rFonts w:cs="Arial"/>
          <w:sz w:val="6"/>
          <w:szCs w:val="6"/>
        </w:rPr>
      </w:pPr>
    </w:p>
    <w:p w14:paraId="64F95761" w14:textId="77777777" w:rsidR="000A1AEA" w:rsidRDefault="000A1AEA" w:rsidP="000A1AEA">
      <w:pPr>
        <w:spacing w:after="0" w:line="240" w:lineRule="auto"/>
        <w:jc w:val="both"/>
        <w:rPr>
          <w:rFonts w:cs="Arial"/>
          <w:sz w:val="20"/>
          <w:szCs w:val="20"/>
        </w:rPr>
      </w:pPr>
      <w:r w:rsidRPr="000A1AEA">
        <w:rPr>
          <w:rFonts w:cs="Arial"/>
          <w:sz w:val="20"/>
          <w:szCs w:val="20"/>
        </w:rPr>
        <w:t xml:space="preserve">Nevertheless, practical difficulties may arise when treasury strategies are modified without being completely terminated. An entity may continue to manage the same broad risk but may change the instrument, period, quantity or </w:t>
      </w:r>
      <w:proofErr w:type="gramStart"/>
      <w:r w:rsidRPr="000A1AEA">
        <w:rPr>
          <w:rFonts w:cs="Arial"/>
          <w:sz w:val="20"/>
          <w:szCs w:val="20"/>
        </w:rPr>
        <w:t>manner in which</w:t>
      </w:r>
      <w:proofErr w:type="gramEnd"/>
      <w:r w:rsidRPr="000A1AEA">
        <w:rPr>
          <w:rFonts w:cs="Arial"/>
          <w:sz w:val="20"/>
          <w:szCs w:val="20"/>
        </w:rPr>
        <w:t xml:space="preserve"> the risk is managed.</w:t>
      </w:r>
    </w:p>
    <w:p w14:paraId="3B868C9D" w14:textId="77777777" w:rsidR="000A1AEA" w:rsidRPr="000A1AEA" w:rsidRDefault="000A1AEA" w:rsidP="000A1AEA">
      <w:pPr>
        <w:spacing w:after="0" w:line="240" w:lineRule="auto"/>
        <w:jc w:val="both"/>
        <w:rPr>
          <w:rFonts w:cs="Arial"/>
          <w:sz w:val="6"/>
          <w:szCs w:val="6"/>
        </w:rPr>
      </w:pPr>
    </w:p>
    <w:p w14:paraId="4C9A1D3F" w14:textId="77777777" w:rsidR="000A1AEA" w:rsidRPr="000A1AEA" w:rsidRDefault="000A1AEA" w:rsidP="000A1AEA">
      <w:pPr>
        <w:spacing w:after="0" w:line="240" w:lineRule="auto"/>
        <w:jc w:val="both"/>
        <w:rPr>
          <w:rFonts w:cs="Arial"/>
          <w:sz w:val="20"/>
          <w:szCs w:val="20"/>
        </w:rPr>
      </w:pPr>
      <w:r w:rsidRPr="000A1AEA">
        <w:rPr>
          <w:rFonts w:cs="Arial"/>
          <w:sz w:val="20"/>
          <w:szCs w:val="20"/>
        </w:rPr>
        <w:t>The distinction between a change in the risk management objective and a change in the risk management strategy may be difficult to apply consistently. This is particularly relevant for dynamic portfolios or exposures managed on a rolling basis.</w:t>
      </w:r>
    </w:p>
    <w:p w14:paraId="62495EB2" w14:textId="77777777" w:rsidR="000A1AEA" w:rsidRPr="000A1AEA" w:rsidRDefault="000A1AEA" w:rsidP="000A1AEA">
      <w:pPr>
        <w:spacing w:after="0" w:line="240" w:lineRule="auto"/>
        <w:jc w:val="both"/>
        <w:rPr>
          <w:rFonts w:cs="Arial"/>
          <w:b/>
          <w:bCs/>
          <w:sz w:val="6"/>
          <w:szCs w:val="6"/>
        </w:rPr>
      </w:pPr>
    </w:p>
    <w:p w14:paraId="4F60E123" w14:textId="33CD33CF"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4E4C8371" w14:textId="77777777" w:rsidR="000A1AEA" w:rsidRPr="000A1AEA" w:rsidRDefault="000A1AEA" w:rsidP="000A1AEA">
      <w:pPr>
        <w:spacing w:after="0" w:line="240" w:lineRule="auto"/>
        <w:jc w:val="both"/>
        <w:rPr>
          <w:rFonts w:cs="Arial"/>
          <w:sz w:val="6"/>
          <w:szCs w:val="6"/>
        </w:rPr>
      </w:pPr>
    </w:p>
    <w:p w14:paraId="52A9E118" w14:textId="33C2ABFB" w:rsidR="000A1AEA" w:rsidRPr="000A1AEA" w:rsidRDefault="000A1AEA" w:rsidP="000A1AEA">
      <w:pPr>
        <w:spacing w:after="0" w:line="240" w:lineRule="auto"/>
        <w:jc w:val="both"/>
        <w:rPr>
          <w:rFonts w:cs="Arial"/>
          <w:sz w:val="20"/>
          <w:szCs w:val="20"/>
        </w:rPr>
      </w:pPr>
      <w:r w:rsidRPr="000A1AEA">
        <w:rPr>
          <w:rFonts w:cs="Arial"/>
          <w:sz w:val="20"/>
          <w:szCs w:val="20"/>
        </w:rPr>
        <w:t>Additional guidance should illustrate circumstances in which:</w:t>
      </w:r>
    </w:p>
    <w:p w14:paraId="5A2D2657" w14:textId="77777777" w:rsidR="000A1AEA" w:rsidRPr="000A1AEA" w:rsidRDefault="000A1AEA" w:rsidP="000A1AEA">
      <w:pPr>
        <w:numPr>
          <w:ilvl w:val="0"/>
          <w:numId w:val="10"/>
        </w:numPr>
        <w:spacing w:after="0" w:line="240" w:lineRule="auto"/>
        <w:jc w:val="both"/>
        <w:rPr>
          <w:rFonts w:cs="Arial"/>
          <w:sz w:val="20"/>
          <w:szCs w:val="20"/>
        </w:rPr>
      </w:pPr>
      <w:r w:rsidRPr="000A1AEA">
        <w:rPr>
          <w:rFonts w:cs="Arial"/>
          <w:sz w:val="20"/>
          <w:szCs w:val="20"/>
        </w:rPr>
        <w:t>revision of the risk management strategy does not change the underlying objective;</w:t>
      </w:r>
    </w:p>
    <w:p w14:paraId="1124C288" w14:textId="77777777" w:rsidR="000A1AEA" w:rsidRPr="000A1AEA" w:rsidRDefault="000A1AEA" w:rsidP="000A1AEA">
      <w:pPr>
        <w:numPr>
          <w:ilvl w:val="0"/>
          <w:numId w:val="10"/>
        </w:numPr>
        <w:spacing w:after="0" w:line="240" w:lineRule="auto"/>
        <w:jc w:val="both"/>
        <w:rPr>
          <w:rFonts w:cs="Arial"/>
          <w:sz w:val="20"/>
          <w:szCs w:val="20"/>
        </w:rPr>
      </w:pPr>
      <w:r w:rsidRPr="000A1AEA">
        <w:rPr>
          <w:rFonts w:cs="Arial"/>
          <w:sz w:val="20"/>
          <w:szCs w:val="20"/>
        </w:rPr>
        <w:t>a change requires rebalancing;</w:t>
      </w:r>
    </w:p>
    <w:p w14:paraId="4A479699" w14:textId="77777777" w:rsidR="000A1AEA" w:rsidRPr="000A1AEA" w:rsidRDefault="000A1AEA" w:rsidP="000A1AEA">
      <w:pPr>
        <w:numPr>
          <w:ilvl w:val="0"/>
          <w:numId w:val="10"/>
        </w:numPr>
        <w:spacing w:after="0" w:line="240" w:lineRule="auto"/>
        <w:jc w:val="both"/>
        <w:rPr>
          <w:rFonts w:cs="Arial"/>
          <w:sz w:val="20"/>
          <w:szCs w:val="20"/>
        </w:rPr>
      </w:pPr>
      <w:r w:rsidRPr="000A1AEA">
        <w:rPr>
          <w:rFonts w:cs="Arial"/>
          <w:sz w:val="20"/>
          <w:szCs w:val="20"/>
        </w:rPr>
        <w:t>partial discontinuation is appropriate; and</w:t>
      </w:r>
    </w:p>
    <w:p w14:paraId="37695874" w14:textId="77777777" w:rsidR="000A1AEA" w:rsidRPr="000A1AEA" w:rsidRDefault="000A1AEA" w:rsidP="000A1AEA">
      <w:pPr>
        <w:numPr>
          <w:ilvl w:val="0"/>
          <w:numId w:val="10"/>
        </w:numPr>
        <w:spacing w:after="0" w:line="240" w:lineRule="auto"/>
        <w:jc w:val="both"/>
        <w:rPr>
          <w:rFonts w:cs="Arial"/>
          <w:sz w:val="20"/>
          <w:szCs w:val="20"/>
        </w:rPr>
      </w:pPr>
      <w:r w:rsidRPr="000A1AEA">
        <w:rPr>
          <w:rFonts w:cs="Arial"/>
          <w:sz w:val="20"/>
          <w:szCs w:val="20"/>
        </w:rPr>
        <w:t>full discontinuation is required.</w:t>
      </w:r>
    </w:p>
    <w:p w14:paraId="12FC30B4" w14:textId="77777777" w:rsidR="000A1AEA" w:rsidRPr="000A1AEA" w:rsidRDefault="000A1AEA" w:rsidP="000A1AEA">
      <w:pPr>
        <w:spacing w:after="0" w:line="240" w:lineRule="auto"/>
        <w:jc w:val="both"/>
        <w:rPr>
          <w:rFonts w:cs="Arial"/>
          <w:sz w:val="8"/>
          <w:szCs w:val="8"/>
        </w:rPr>
      </w:pPr>
    </w:p>
    <w:p w14:paraId="5F73310E" w14:textId="685B55EC" w:rsidR="000A1AEA" w:rsidRPr="000A1AEA" w:rsidRDefault="000A1AEA" w:rsidP="000A1AEA">
      <w:pPr>
        <w:spacing w:after="0" w:line="240" w:lineRule="auto"/>
        <w:jc w:val="both"/>
        <w:rPr>
          <w:rFonts w:cs="Arial"/>
          <w:sz w:val="20"/>
          <w:szCs w:val="20"/>
        </w:rPr>
      </w:pPr>
      <w:r w:rsidRPr="000A1AEA">
        <w:rPr>
          <w:rFonts w:cs="Arial"/>
          <w:sz w:val="20"/>
          <w:szCs w:val="20"/>
        </w:rPr>
        <w:t>The IASB should also consider the interaction of these requirements with its work on risk mitigation accounting before withdrawing the remaining IAS 39 hedge accounting requirements.</w:t>
      </w:r>
    </w:p>
    <w:p w14:paraId="37338A37"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lastRenderedPageBreak/>
        <w:t>7. Basis Adjustment of Non-financial Items</w:t>
      </w:r>
    </w:p>
    <w:p w14:paraId="73726FD6" w14:textId="77777777" w:rsidR="000A1AEA" w:rsidRDefault="000A1AEA" w:rsidP="000A1AEA">
      <w:pPr>
        <w:spacing w:after="0" w:line="240" w:lineRule="auto"/>
        <w:jc w:val="both"/>
        <w:rPr>
          <w:rFonts w:cs="Arial"/>
          <w:sz w:val="20"/>
          <w:szCs w:val="20"/>
        </w:rPr>
      </w:pPr>
    </w:p>
    <w:p w14:paraId="4F4A1F98" w14:textId="45269016" w:rsidR="000A1AEA" w:rsidRDefault="000A1AEA" w:rsidP="000A1AEA">
      <w:pPr>
        <w:spacing w:after="0" w:line="240" w:lineRule="auto"/>
        <w:jc w:val="both"/>
        <w:rPr>
          <w:rFonts w:cs="Arial"/>
          <w:sz w:val="20"/>
          <w:szCs w:val="20"/>
        </w:rPr>
      </w:pPr>
      <w:r w:rsidRPr="000A1AEA">
        <w:rPr>
          <w:rFonts w:cs="Arial"/>
          <w:sz w:val="20"/>
          <w:szCs w:val="20"/>
        </w:rPr>
        <w:t>Basis adjustment appropriately avoids recognising in profit or loss an amount that relates to the acquisition cost of a non-financial asset or liability. The requirement is therefore conceptually consistent with the economics of a cash flow hedge.</w:t>
      </w:r>
    </w:p>
    <w:p w14:paraId="189B3B03" w14:textId="77777777" w:rsidR="000A1AEA" w:rsidRPr="000A1AEA" w:rsidRDefault="000A1AEA" w:rsidP="000A1AEA">
      <w:pPr>
        <w:spacing w:after="0" w:line="240" w:lineRule="auto"/>
        <w:jc w:val="both"/>
        <w:rPr>
          <w:rFonts w:cs="Arial"/>
          <w:sz w:val="20"/>
          <w:szCs w:val="20"/>
        </w:rPr>
      </w:pPr>
    </w:p>
    <w:p w14:paraId="69AAEC39" w14:textId="77777777" w:rsidR="000A1AEA" w:rsidRDefault="000A1AEA" w:rsidP="000A1AEA">
      <w:pPr>
        <w:spacing w:after="0" w:line="240" w:lineRule="auto"/>
        <w:jc w:val="both"/>
        <w:rPr>
          <w:rFonts w:cs="Arial"/>
          <w:sz w:val="20"/>
          <w:szCs w:val="20"/>
        </w:rPr>
      </w:pPr>
      <w:r w:rsidRPr="000A1AEA">
        <w:rPr>
          <w:rFonts w:cs="Arial"/>
          <w:sz w:val="20"/>
          <w:szCs w:val="20"/>
        </w:rPr>
        <w:t xml:space="preserve">The operational challenge arises when the accumulated cash flow hedge reserve </w:t>
      </w:r>
      <w:proofErr w:type="gramStart"/>
      <w:r w:rsidRPr="000A1AEA">
        <w:rPr>
          <w:rFonts w:cs="Arial"/>
          <w:sz w:val="20"/>
          <w:szCs w:val="20"/>
        </w:rPr>
        <w:t>has to</w:t>
      </w:r>
      <w:proofErr w:type="gramEnd"/>
      <w:r w:rsidRPr="000A1AEA">
        <w:rPr>
          <w:rFonts w:cs="Arial"/>
          <w:sz w:val="20"/>
          <w:szCs w:val="20"/>
        </w:rPr>
        <w:t xml:space="preserve"> be allocated to </w:t>
      </w:r>
      <w:proofErr w:type="gramStart"/>
      <w:r w:rsidRPr="000A1AEA">
        <w:rPr>
          <w:rFonts w:cs="Arial"/>
          <w:sz w:val="20"/>
          <w:szCs w:val="20"/>
        </w:rPr>
        <w:t>a large number of</w:t>
      </w:r>
      <w:proofErr w:type="gramEnd"/>
      <w:r w:rsidRPr="000A1AEA">
        <w:rPr>
          <w:rFonts w:cs="Arial"/>
          <w:sz w:val="20"/>
          <w:szCs w:val="20"/>
        </w:rPr>
        <w:t xml:space="preserve"> inventory items or other non-financial assets.</w:t>
      </w:r>
    </w:p>
    <w:p w14:paraId="5598BADA" w14:textId="77777777" w:rsidR="000A1AEA" w:rsidRPr="000A1AEA" w:rsidRDefault="000A1AEA" w:rsidP="000A1AEA">
      <w:pPr>
        <w:spacing w:after="0" w:line="240" w:lineRule="auto"/>
        <w:jc w:val="both"/>
        <w:rPr>
          <w:rFonts w:cs="Arial"/>
          <w:sz w:val="20"/>
          <w:szCs w:val="20"/>
        </w:rPr>
      </w:pPr>
    </w:p>
    <w:p w14:paraId="5D353706" w14:textId="77777777" w:rsidR="000A1AEA" w:rsidRDefault="000A1AEA" w:rsidP="000A1AEA">
      <w:pPr>
        <w:spacing w:after="0" w:line="240" w:lineRule="auto"/>
        <w:jc w:val="both"/>
        <w:rPr>
          <w:rFonts w:cs="Arial"/>
          <w:sz w:val="20"/>
          <w:szCs w:val="20"/>
        </w:rPr>
      </w:pPr>
      <w:r w:rsidRPr="000A1AEA">
        <w:rPr>
          <w:rFonts w:cs="Arial"/>
          <w:sz w:val="20"/>
          <w:szCs w:val="20"/>
        </w:rPr>
        <w:t>For manufacturing and commodity-based entities, hedged purchases may form part of pooled inventory, undergo conversion through multiple stages of production, or be consumed in a combination of products. Existing ERP and inventory systems may not be configured to track the related hedge adjustment from the forecast purchase through receipt, production, sale and recognition in profit or loss.</w:t>
      </w:r>
    </w:p>
    <w:p w14:paraId="7C2C3C6D" w14:textId="77777777" w:rsidR="000A1AEA" w:rsidRPr="000A1AEA" w:rsidRDefault="000A1AEA" w:rsidP="000A1AEA">
      <w:pPr>
        <w:spacing w:after="0" w:line="240" w:lineRule="auto"/>
        <w:jc w:val="both"/>
        <w:rPr>
          <w:rFonts w:cs="Arial"/>
          <w:sz w:val="20"/>
          <w:szCs w:val="20"/>
        </w:rPr>
      </w:pPr>
    </w:p>
    <w:p w14:paraId="5D8CC5BB" w14:textId="77777777" w:rsidR="000A1AEA" w:rsidRPr="000A1AEA" w:rsidRDefault="000A1AEA" w:rsidP="000A1AEA">
      <w:pPr>
        <w:spacing w:after="0" w:line="240" w:lineRule="auto"/>
        <w:jc w:val="both"/>
        <w:rPr>
          <w:rFonts w:cs="Arial"/>
          <w:sz w:val="20"/>
          <w:szCs w:val="20"/>
        </w:rPr>
      </w:pPr>
      <w:r w:rsidRPr="000A1AEA">
        <w:rPr>
          <w:rFonts w:cs="Arial"/>
          <w:sz w:val="20"/>
          <w:szCs w:val="20"/>
        </w:rPr>
        <w:t xml:space="preserve">This may lead to manual allocation and reconciliation processes. The effort increases where purchases are hedged on a portfolio </w:t>
      </w:r>
      <w:proofErr w:type="gramStart"/>
      <w:r w:rsidRPr="000A1AEA">
        <w:rPr>
          <w:rFonts w:cs="Arial"/>
          <w:sz w:val="20"/>
          <w:szCs w:val="20"/>
        </w:rPr>
        <w:t>basis</w:t>
      </w:r>
      <w:proofErr w:type="gramEnd"/>
      <w:r w:rsidRPr="000A1AEA">
        <w:rPr>
          <w:rFonts w:cs="Arial"/>
          <w:sz w:val="20"/>
          <w:szCs w:val="20"/>
        </w:rPr>
        <w:t xml:space="preserve"> but inventory is recorded and consumed at an individual item or batch level.</w:t>
      </w:r>
    </w:p>
    <w:p w14:paraId="37A14804" w14:textId="77777777" w:rsidR="000A1AEA" w:rsidRDefault="000A1AEA" w:rsidP="000A1AEA">
      <w:pPr>
        <w:spacing w:after="0" w:line="240" w:lineRule="auto"/>
        <w:jc w:val="both"/>
        <w:rPr>
          <w:rFonts w:cs="Arial"/>
          <w:b/>
          <w:bCs/>
          <w:sz w:val="20"/>
          <w:szCs w:val="20"/>
        </w:rPr>
      </w:pPr>
    </w:p>
    <w:p w14:paraId="7C8A8DFE" w14:textId="48170ED8"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63219D15" w14:textId="77777777" w:rsidR="000A1AEA" w:rsidRDefault="000A1AEA" w:rsidP="000A1AEA">
      <w:pPr>
        <w:spacing w:after="0" w:line="240" w:lineRule="auto"/>
        <w:jc w:val="both"/>
        <w:rPr>
          <w:rFonts w:cs="Arial"/>
          <w:sz w:val="20"/>
          <w:szCs w:val="20"/>
        </w:rPr>
      </w:pPr>
    </w:p>
    <w:p w14:paraId="6A763B2A" w14:textId="4154893C" w:rsidR="000A1AEA" w:rsidRPr="000A1AEA" w:rsidRDefault="000A1AEA" w:rsidP="000A1AEA">
      <w:pPr>
        <w:spacing w:after="0" w:line="240" w:lineRule="auto"/>
        <w:jc w:val="both"/>
        <w:rPr>
          <w:rFonts w:cs="Arial"/>
          <w:sz w:val="20"/>
          <w:szCs w:val="20"/>
        </w:rPr>
      </w:pPr>
      <w:r w:rsidRPr="000A1AEA">
        <w:rPr>
          <w:rFonts w:cs="Arial"/>
          <w:sz w:val="20"/>
          <w:szCs w:val="20"/>
        </w:rPr>
        <w:t>The IASB may consider clarifying whether reasonable allocation methods may be applied at a portfolio, product-group or inventory-pool level where item-level tracing is impracticable.</w:t>
      </w:r>
    </w:p>
    <w:p w14:paraId="1E205B33" w14:textId="77777777" w:rsidR="000A1AEA" w:rsidRDefault="000A1AEA" w:rsidP="000A1AEA">
      <w:pPr>
        <w:spacing w:after="0" w:line="240" w:lineRule="auto"/>
        <w:jc w:val="both"/>
        <w:rPr>
          <w:rFonts w:cs="Arial"/>
          <w:sz w:val="20"/>
          <w:szCs w:val="20"/>
        </w:rPr>
      </w:pPr>
    </w:p>
    <w:p w14:paraId="54C897B1" w14:textId="1B942A1D" w:rsidR="000A1AEA" w:rsidRPr="000A1AEA" w:rsidRDefault="000A1AEA" w:rsidP="000A1AEA">
      <w:pPr>
        <w:spacing w:after="0" w:line="240" w:lineRule="auto"/>
        <w:jc w:val="both"/>
        <w:rPr>
          <w:rFonts w:cs="Arial"/>
          <w:sz w:val="20"/>
          <w:szCs w:val="20"/>
        </w:rPr>
      </w:pPr>
      <w:r w:rsidRPr="000A1AEA">
        <w:rPr>
          <w:rFonts w:cs="Arial"/>
          <w:sz w:val="20"/>
          <w:szCs w:val="20"/>
        </w:rPr>
        <w:t>Illustrative guidance could address:</w:t>
      </w:r>
    </w:p>
    <w:p w14:paraId="2E704E8C" w14:textId="77777777" w:rsidR="000A1AEA" w:rsidRPr="000A1AEA" w:rsidRDefault="000A1AEA" w:rsidP="000A1AEA">
      <w:pPr>
        <w:numPr>
          <w:ilvl w:val="0"/>
          <w:numId w:val="11"/>
        </w:numPr>
        <w:spacing w:after="0" w:line="240" w:lineRule="auto"/>
        <w:jc w:val="both"/>
        <w:rPr>
          <w:rFonts w:cs="Arial"/>
          <w:sz w:val="20"/>
          <w:szCs w:val="20"/>
        </w:rPr>
      </w:pPr>
      <w:r w:rsidRPr="000A1AEA">
        <w:rPr>
          <w:rFonts w:cs="Arial"/>
          <w:sz w:val="20"/>
          <w:szCs w:val="20"/>
        </w:rPr>
        <w:t>hedged purchases included in pooled inventory;</w:t>
      </w:r>
    </w:p>
    <w:p w14:paraId="25822442" w14:textId="77777777" w:rsidR="000A1AEA" w:rsidRPr="000A1AEA" w:rsidRDefault="000A1AEA" w:rsidP="000A1AEA">
      <w:pPr>
        <w:numPr>
          <w:ilvl w:val="0"/>
          <w:numId w:val="11"/>
        </w:numPr>
        <w:spacing w:after="0" w:line="240" w:lineRule="auto"/>
        <w:jc w:val="both"/>
        <w:rPr>
          <w:rFonts w:cs="Arial"/>
          <w:sz w:val="20"/>
          <w:szCs w:val="20"/>
        </w:rPr>
      </w:pPr>
      <w:r w:rsidRPr="000A1AEA">
        <w:rPr>
          <w:rFonts w:cs="Arial"/>
          <w:sz w:val="20"/>
          <w:szCs w:val="20"/>
        </w:rPr>
        <w:t>partial consumption of hedged inventory;</w:t>
      </w:r>
    </w:p>
    <w:p w14:paraId="0CB5B1D3" w14:textId="77777777" w:rsidR="000A1AEA" w:rsidRPr="000A1AEA" w:rsidRDefault="000A1AEA" w:rsidP="000A1AEA">
      <w:pPr>
        <w:numPr>
          <w:ilvl w:val="0"/>
          <w:numId w:val="11"/>
        </w:numPr>
        <w:spacing w:after="0" w:line="240" w:lineRule="auto"/>
        <w:jc w:val="both"/>
        <w:rPr>
          <w:rFonts w:cs="Arial"/>
          <w:sz w:val="20"/>
          <w:szCs w:val="20"/>
        </w:rPr>
      </w:pPr>
      <w:r w:rsidRPr="000A1AEA">
        <w:rPr>
          <w:rFonts w:cs="Arial"/>
          <w:sz w:val="20"/>
          <w:szCs w:val="20"/>
        </w:rPr>
        <w:t>production processes involving multiple raw materials;</w:t>
      </w:r>
    </w:p>
    <w:p w14:paraId="3173A7D2" w14:textId="77777777" w:rsidR="000A1AEA" w:rsidRPr="000A1AEA" w:rsidRDefault="000A1AEA" w:rsidP="000A1AEA">
      <w:pPr>
        <w:numPr>
          <w:ilvl w:val="0"/>
          <w:numId w:val="11"/>
        </w:numPr>
        <w:spacing w:after="0" w:line="240" w:lineRule="auto"/>
        <w:jc w:val="both"/>
        <w:rPr>
          <w:rFonts w:cs="Arial"/>
          <w:sz w:val="20"/>
          <w:szCs w:val="20"/>
        </w:rPr>
      </w:pPr>
      <w:r w:rsidRPr="000A1AEA">
        <w:rPr>
          <w:rFonts w:cs="Arial"/>
          <w:sz w:val="20"/>
          <w:szCs w:val="20"/>
        </w:rPr>
        <w:t>abnormal losses or write-downs of hedged inventory;</w:t>
      </w:r>
    </w:p>
    <w:p w14:paraId="3CF9F7A9" w14:textId="77777777" w:rsidR="000A1AEA" w:rsidRPr="000A1AEA" w:rsidRDefault="000A1AEA" w:rsidP="000A1AEA">
      <w:pPr>
        <w:numPr>
          <w:ilvl w:val="0"/>
          <w:numId w:val="11"/>
        </w:numPr>
        <w:spacing w:after="0" w:line="240" w:lineRule="auto"/>
        <w:jc w:val="both"/>
        <w:rPr>
          <w:rFonts w:cs="Arial"/>
          <w:sz w:val="20"/>
          <w:szCs w:val="20"/>
        </w:rPr>
      </w:pPr>
      <w:r w:rsidRPr="000A1AEA">
        <w:rPr>
          <w:rFonts w:cs="Arial"/>
          <w:sz w:val="20"/>
          <w:szCs w:val="20"/>
        </w:rPr>
        <w:t>allocation of the basis adjustment to cost of sales; and</w:t>
      </w:r>
    </w:p>
    <w:p w14:paraId="5C9ED619" w14:textId="77777777" w:rsidR="000A1AEA" w:rsidRPr="000A1AEA" w:rsidRDefault="000A1AEA" w:rsidP="000A1AEA">
      <w:pPr>
        <w:numPr>
          <w:ilvl w:val="0"/>
          <w:numId w:val="11"/>
        </w:numPr>
        <w:spacing w:after="0" w:line="240" w:lineRule="auto"/>
        <w:jc w:val="both"/>
        <w:rPr>
          <w:rFonts w:cs="Arial"/>
          <w:sz w:val="20"/>
          <w:szCs w:val="20"/>
        </w:rPr>
      </w:pPr>
      <w:r w:rsidRPr="000A1AEA">
        <w:rPr>
          <w:rFonts w:cs="Arial"/>
          <w:sz w:val="20"/>
          <w:szCs w:val="20"/>
        </w:rPr>
        <w:t>differences between the designated forecast quantity and the quantity ultimately purchased.</w:t>
      </w:r>
    </w:p>
    <w:p w14:paraId="6A6FD0FC" w14:textId="77777777" w:rsidR="000A1AEA" w:rsidRDefault="000A1AEA" w:rsidP="000A1AEA">
      <w:pPr>
        <w:spacing w:after="0" w:line="240" w:lineRule="auto"/>
        <w:jc w:val="both"/>
        <w:rPr>
          <w:rFonts w:cs="Arial"/>
          <w:sz w:val="20"/>
          <w:szCs w:val="20"/>
        </w:rPr>
      </w:pPr>
    </w:p>
    <w:p w14:paraId="548876C4" w14:textId="5A578400" w:rsidR="000A1AEA" w:rsidRPr="000A1AEA" w:rsidRDefault="000A1AEA" w:rsidP="000A1AEA">
      <w:pPr>
        <w:spacing w:after="0" w:line="240" w:lineRule="auto"/>
        <w:jc w:val="both"/>
        <w:rPr>
          <w:rFonts w:cs="Arial"/>
          <w:sz w:val="20"/>
          <w:szCs w:val="20"/>
        </w:rPr>
      </w:pPr>
      <w:r w:rsidRPr="000A1AEA">
        <w:rPr>
          <w:rFonts w:cs="Arial"/>
          <w:sz w:val="20"/>
          <w:szCs w:val="20"/>
        </w:rPr>
        <w:t>A practical allocation approach, applied consistently and supported by reasonable evidence, may provide an appropriate balance between faithful representation and operational cost.</w:t>
      </w:r>
    </w:p>
    <w:p w14:paraId="12411672" w14:textId="5EB13D58" w:rsidR="000A1AEA" w:rsidRPr="000A1AEA" w:rsidRDefault="000A1AEA" w:rsidP="000A1AEA">
      <w:pPr>
        <w:spacing w:after="0" w:line="240" w:lineRule="auto"/>
        <w:jc w:val="both"/>
        <w:rPr>
          <w:rFonts w:cs="Arial"/>
          <w:sz w:val="20"/>
          <w:szCs w:val="20"/>
        </w:rPr>
      </w:pPr>
    </w:p>
    <w:p w14:paraId="6606D3B3"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8. Components of Nominal Amounts and Layer Components</w:t>
      </w:r>
    </w:p>
    <w:p w14:paraId="09E66152" w14:textId="77777777" w:rsidR="000A1AEA" w:rsidRDefault="000A1AEA" w:rsidP="000A1AEA">
      <w:pPr>
        <w:spacing w:after="0" w:line="240" w:lineRule="auto"/>
        <w:jc w:val="both"/>
        <w:rPr>
          <w:rFonts w:cs="Arial"/>
          <w:sz w:val="20"/>
          <w:szCs w:val="20"/>
        </w:rPr>
      </w:pPr>
    </w:p>
    <w:p w14:paraId="2EF47463" w14:textId="508B4517" w:rsidR="000A1AEA" w:rsidRPr="000A1AEA" w:rsidRDefault="000A1AEA" w:rsidP="000A1AEA">
      <w:pPr>
        <w:spacing w:after="0" w:line="240" w:lineRule="auto"/>
        <w:jc w:val="both"/>
        <w:rPr>
          <w:rFonts w:cs="Arial"/>
          <w:sz w:val="20"/>
          <w:szCs w:val="20"/>
        </w:rPr>
      </w:pPr>
      <w:r w:rsidRPr="000A1AEA">
        <w:rPr>
          <w:rFonts w:cs="Arial"/>
          <w:sz w:val="20"/>
          <w:szCs w:val="20"/>
        </w:rPr>
        <w:t>The ability to designate components of nominal amounts and layer components has improved the alignment between accounting and risk management. However, application may become difficult where the exposure is part of a changing population or where prepayments, cancellations, defaults or changes in expected volumes affect the designated layer.</w:t>
      </w:r>
    </w:p>
    <w:p w14:paraId="61F0631E" w14:textId="77777777" w:rsidR="000A1AEA" w:rsidRDefault="000A1AEA" w:rsidP="000A1AEA">
      <w:pPr>
        <w:spacing w:after="0" w:line="240" w:lineRule="auto"/>
        <w:jc w:val="both"/>
        <w:rPr>
          <w:rFonts w:cs="Arial"/>
          <w:sz w:val="20"/>
          <w:szCs w:val="20"/>
        </w:rPr>
      </w:pPr>
    </w:p>
    <w:p w14:paraId="7321C531" w14:textId="663031B9" w:rsidR="000A1AEA" w:rsidRPr="000A1AEA" w:rsidRDefault="000A1AEA" w:rsidP="000A1AEA">
      <w:pPr>
        <w:spacing w:after="0" w:line="240" w:lineRule="auto"/>
        <w:jc w:val="both"/>
        <w:rPr>
          <w:rFonts w:cs="Arial"/>
          <w:sz w:val="20"/>
          <w:szCs w:val="20"/>
        </w:rPr>
      </w:pPr>
      <w:r w:rsidRPr="000A1AEA">
        <w:rPr>
          <w:rFonts w:cs="Arial"/>
          <w:sz w:val="20"/>
          <w:szCs w:val="20"/>
        </w:rPr>
        <w:t>Additional guidance may be useful on the interaction between layer designations and:</w:t>
      </w:r>
    </w:p>
    <w:p w14:paraId="7196D0B9" w14:textId="77777777" w:rsidR="000A1AEA" w:rsidRPr="000A1AEA" w:rsidRDefault="000A1AEA" w:rsidP="000A1AEA">
      <w:pPr>
        <w:numPr>
          <w:ilvl w:val="0"/>
          <w:numId w:val="12"/>
        </w:numPr>
        <w:spacing w:after="0" w:line="240" w:lineRule="auto"/>
        <w:jc w:val="both"/>
        <w:rPr>
          <w:rFonts w:cs="Arial"/>
          <w:sz w:val="20"/>
          <w:szCs w:val="20"/>
        </w:rPr>
      </w:pPr>
      <w:r w:rsidRPr="000A1AEA">
        <w:rPr>
          <w:rFonts w:cs="Arial"/>
          <w:sz w:val="20"/>
          <w:szCs w:val="20"/>
        </w:rPr>
        <w:t>forecast transaction probability;</w:t>
      </w:r>
    </w:p>
    <w:p w14:paraId="41D24703" w14:textId="77777777" w:rsidR="000A1AEA" w:rsidRPr="000A1AEA" w:rsidRDefault="000A1AEA" w:rsidP="000A1AEA">
      <w:pPr>
        <w:numPr>
          <w:ilvl w:val="0"/>
          <w:numId w:val="12"/>
        </w:numPr>
        <w:spacing w:after="0" w:line="240" w:lineRule="auto"/>
        <w:jc w:val="both"/>
        <w:rPr>
          <w:rFonts w:cs="Arial"/>
          <w:sz w:val="20"/>
          <w:szCs w:val="20"/>
        </w:rPr>
      </w:pPr>
      <w:r w:rsidRPr="000A1AEA">
        <w:rPr>
          <w:rFonts w:cs="Arial"/>
          <w:sz w:val="20"/>
          <w:szCs w:val="20"/>
        </w:rPr>
        <w:t>prepayment risk;</w:t>
      </w:r>
    </w:p>
    <w:p w14:paraId="3AFB1708" w14:textId="77777777" w:rsidR="000A1AEA" w:rsidRPr="000A1AEA" w:rsidRDefault="000A1AEA" w:rsidP="000A1AEA">
      <w:pPr>
        <w:numPr>
          <w:ilvl w:val="0"/>
          <w:numId w:val="12"/>
        </w:numPr>
        <w:spacing w:after="0" w:line="240" w:lineRule="auto"/>
        <w:jc w:val="both"/>
        <w:rPr>
          <w:rFonts w:cs="Arial"/>
          <w:sz w:val="20"/>
          <w:szCs w:val="20"/>
        </w:rPr>
      </w:pPr>
      <w:r w:rsidRPr="000A1AEA">
        <w:rPr>
          <w:rFonts w:cs="Arial"/>
          <w:sz w:val="20"/>
          <w:szCs w:val="20"/>
        </w:rPr>
        <w:t>changes in expected transaction volumes;</w:t>
      </w:r>
    </w:p>
    <w:p w14:paraId="4DAF58AF" w14:textId="77777777" w:rsidR="000A1AEA" w:rsidRPr="000A1AEA" w:rsidRDefault="000A1AEA" w:rsidP="000A1AEA">
      <w:pPr>
        <w:numPr>
          <w:ilvl w:val="0"/>
          <w:numId w:val="12"/>
        </w:numPr>
        <w:spacing w:after="0" w:line="240" w:lineRule="auto"/>
        <w:jc w:val="both"/>
        <w:rPr>
          <w:rFonts w:cs="Arial"/>
          <w:sz w:val="20"/>
          <w:szCs w:val="20"/>
        </w:rPr>
      </w:pPr>
      <w:r w:rsidRPr="000A1AEA">
        <w:rPr>
          <w:rFonts w:cs="Arial"/>
          <w:sz w:val="20"/>
          <w:szCs w:val="20"/>
        </w:rPr>
        <w:t>partial discontinuation; and</w:t>
      </w:r>
    </w:p>
    <w:p w14:paraId="5AEA160D" w14:textId="77777777" w:rsidR="000A1AEA" w:rsidRPr="000A1AEA" w:rsidRDefault="000A1AEA" w:rsidP="000A1AEA">
      <w:pPr>
        <w:numPr>
          <w:ilvl w:val="0"/>
          <w:numId w:val="12"/>
        </w:numPr>
        <w:spacing w:after="0" w:line="240" w:lineRule="auto"/>
        <w:jc w:val="both"/>
        <w:rPr>
          <w:rFonts w:cs="Arial"/>
          <w:sz w:val="20"/>
          <w:szCs w:val="20"/>
        </w:rPr>
      </w:pPr>
      <w:r w:rsidRPr="000A1AEA">
        <w:rPr>
          <w:rFonts w:cs="Arial"/>
          <w:sz w:val="20"/>
          <w:szCs w:val="20"/>
        </w:rPr>
        <w:t>identification of the specific items forming part of the designated layer.</w:t>
      </w:r>
    </w:p>
    <w:p w14:paraId="40B3C7D0" w14:textId="77777777" w:rsidR="000A1AEA" w:rsidRDefault="000A1AEA" w:rsidP="000A1AEA">
      <w:pPr>
        <w:spacing w:after="0" w:line="240" w:lineRule="auto"/>
        <w:jc w:val="both"/>
        <w:rPr>
          <w:rFonts w:cs="Arial"/>
          <w:sz w:val="20"/>
          <w:szCs w:val="20"/>
        </w:rPr>
      </w:pPr>
    </w:p>
    <w:p w14:paraId="615CE0D0" w14:textId="5E1758BA" w:rsidR="000A1AEA" w:rsidRPr="000A1AEA" w:rsidRDefault="000A1AEA" w:rsidP="000A1AEA">
      <w:pPr>
        <w:spacing w:after="0" w:line="240" w:lineRule="auto"/>
        <w:jc w:val="both"/>
        <w:rPr>
          <w:rFonts w:cs="Arial"/>
          <w:sz w:val="20"/>
          <w:szCs w:val="20"/>
        </w:rPr>
      </w:pPr>
      <w:r w:rsidRPr="000A1AEA">
        <w:rPr>
          <w:rFonts w:cs="Arial"/>
          <w:sz w:val="20"/>
          <w:szCs w:val="20"/>
        </w:rPr>
        <w:t>This is relevant not only to financial institutions but also to entities hedging a portion of recurring purchases, sales or borrowings.</w:t>
      </w:r>
    </w:p>
    <w:p w14:paraId="43298193" w14:textId="4C055426" w:rsidR="000A1AEA" w:rsidRPr="000A1AEA" w:rsidRDefault="000A1AEA" w:rsidP="000A1AEA">
      <w:pPr>
        <w:spacing w:after="0" w:line="240" w:lineRule="auto"/>
        <w:jc w:val="both"/>
        <w:rPr>
          <w:rFonts w:cs="Arial"/>
          <w:sz w:val="20"/>
          <w:szCs w:val="20"/>
        </w:rPr>
      </w:pPr>
    </w:p>
    <w:p w14:paraId="2A5CC177"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9. Group and Net Position Hedging</w:t>
      </w:r>
    </w:p>
    <w:p w14:paraId="7BF66746" w14:textId="77777777" w:rsidR="000A1AEA" w:rsidRDefault="000A1AEA" w:rsidP="000A1AEA">
      <w:pPr>
        <w:spacing w:after="0" w:line="240" w:lineRule="auto"/>
        <w:jc w:val="both"/>
        <w:rPr>
          <w:rFonts w:cs="Arial"/>
          <w:sz w:val="20"/>
          <w:szCs w:val="20"/>
        </w:rPr>
      </w:pPr>
    </w:p>
    <w:p w14:paraId="4376BCA2" w14:textId="037A0AA1" w:rsidR="000A1AEA" w:rsidRDefault="000A1AEA" w:rsidP="000A1AEA">
      <w:pPr>
        <w:spacing w:after="0" w:line="240" w:lineRule="auto"/>
        <w:jc w:val="both"/>
        <w:rPr>
          <w:rFonts w:cs="Arial"/>
          <w:sz w:val="20"/>
          <w:szCs w:val="20"/>
        </w:rPr>
      </w:pPr>
      <w:r w:rsidRPr="000A1AEA">
        <w:rPr>
          <w:rFonts w:cs="Arial"/>
          <w:sz w:val="20"/>
          <w:szCs w:val="20"/>
        </w:rPr>
        <w:t>IFRS 9 permits designation of groups of items and, in specified circumstances, net positions. This is a welcome development because many entities manage foreign currency and commodity risks on a net basis.</w:t>
      </w:r>
    </w:p>
    <w:p w14:paraId="07CE7464" w14:textId="77777777" w:rsidR="000A1AEA" w:rsidRPr="000A1AEA" w:rsidRDefault="000A1AEA" w:rsidP="000A1AEA">
      <w:pPr>
        <w:spacing w:after="0" w:line="240" w:lineRule="auto"/>
        <w:jc w:val="both"/>
        <w:rPr>
          <w:rFonts w:cs="Arial"/>
          <w:sz w:val="20"/>
          <w:szCs w:val="20"/>
        </w:rPr>
      </w:pPr>
    </w:p>
    <w:p w14:paraId="3D2F7ADA" w14:textId="77777777" w:rsidR="000A1AEA" w:rsidRDefault="000A1AEA" w:rsidP="000A1AEA">
      <w:pPr>
        <w:spacing w:after="0" w:line="240" w:lineRule="auto"/>
        <w:jc w:val="both"/>
        <w:rPr>
          <w:rFonts w:cs="Arial"/>
          <w:sz w:val="20"/>
          <w:szCs w:val="20"/>
        </w:rPr>
      </w:pPr>
      <w:r w:rsidRPr="000A1AEA">
        <w:rPr>
          <w:rFonts w:cs="Arial"/>
          <w:sz w:val="20"/>
          <w:szCs w:val="20"/>
        </w:rPr>
        <w:t>Nevertheless, accounting systems and financial reporting processes generally record underlying transactions on a gross basis. Aligning a centrally managed net hedge with transactions recorded by different business units, subsidiaries, locations or reporting periods can be operationally difficult.</w:t>
      </w:r>
    </w:p>
    <w:p w14:paraId="7F578E54" w14:textId="77777777" w:rsidR="000A1AEA" w:rsidRPr="000A1AEA" w:rsidRDefault="000A1AEA" w:rsidP="000A1AEA">
      <w:pPr>
        <w:spacing w:after="0" w:line="240" w:lineRule="auto"/>
        <w:jc w:val="both"/>
        <w:rPr>
          <w:rFonts w:cs="Arial"/>
          <w:sz w:val="20"/>
          <w:szCs w:val="20"/>
        </w:rPr>
      </w:pPr>
    </w:p>
    <w:p w14:paraId="6188DB87" w14:textId="77777777" w:rsidR="000A1AEA" w:rsidRPr="000A1AEA" w:rsidRDefault="000A1AEA" w:rsidP="000A1AEA">
      <w:pPr>
        <w:spacing w:after="0" w:line="240" w:lineRule="auto"/>
        <w:jc w:val="both"/>
        <w:rPr>
          <w:rFonts w:cs="Arial"/>
          <w:sz w:val="20"/>
          <w:szCs w:val="20"/>
        </w:rPr>
      </w:pPr>
      <w:r w:rsidRPr="000A1AEA">
        <w:rPr>
          <w:rFonts w:cs="Arial"/>
          <w:sz w:val="20"/>
          <w:szCs w:val="20"/>
        </w:rPr>
        <w:lastRenderedPageBreak/>
        <w:t>In addition, restrictions concerning the presentation of net position hedges and the eligibility of forecast transactions may limit the extent to which internal risk management is reflected in the financial statements.</w:t>
      </w:r>
    </w:p>
    <w:p w14:paraId="55F2F3DC" w14:textId="77777777" w:rsidR="000A1AEA" w:rsidRDefault="000A1AEA" w:rsidP="000A1AEA">
      <w:pPr>
        <w:spacing w:after="0" w:line="240" w:lineRule="auto"/>
        <w:jc w:val="both"/>
        <w:rPr>
          <w:rFonts w:cs="Arial"/>
          <w:b/>
          <w:bCs/>
          <w:sz w:val="20"/>
          <w:szCs w:val="20"/>
        </w:rPr>
      </w:pPr>
    </w:p>
    <w:p w14:paraId="5A5ABE2E" w14:textId="5879DBD2"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52747358" w14:textId="77777777" w:rsidR="000A1AEA" w:rsidRDefault="000A1AEA" w:rsidP="000A1AEA">
      <w:pPr>
        <w:spacing w:after="0" w:line="240" w:lineRule="auto"/>
        <w:jc w:val="both"/>
        <w:rPr>
          <w:rFonts w:cs="Arial"/>
          <w:sz w:val="20"/>
          <w:szCs w:val="20"/>
        </w:rPr>
      </w:pPr>
    </w:p>
    <w:p w14:paraId="663ED961" w14:textId="5CFC346F" w:rsidR="000A1AEA" w:rsidRPr="000A1AEA" w:rsidRDefault="000A1AEA" w:rsidP="000A1AEA">
      <w:pPr>
        <w:spacing w:after="0" w:line="240" w:lineRule="auto"/>
        <w:jc w:val="both"/>
        <w:rPr>
          <w:rFonts w:cs="Arial"/>
          <w:sz w:val="20"/>
          <w:szCs w:val="20"/>
        </w:rPr>
      </w:pPr>
      <w:r w:rsidRPr="000A1AEA">
        <w:rPr>
          <w:rFonts w:cs="Arial"/>
          <w:sz w:val="20"/>
          <w:szCs w:val="20"/>
        </w:rPr>
        <w:t>The IASB may consider further examples involving:</w:t>
      </w:r>
    </w:p>
    <w:p w14:paraId="142642F2" w14:textId="77777777" w:rsidR="000A1AEA" w:rsidRPr="000A1AEA" w:rsidRDefault="000A1AEA" w:rsidP="000A1AEA">
      <w:pPr>
        <w:numPr>
          <w:ilvl w:val="0"/>
          <w:numId w:val="13"/>
        </w:numPr>
        <w:spacing w:after="0" w:line="240" w:lineRule="auto"/>
        <w:jc w:val="both"/>
        <w:rPr>
          <w:rFonts w:cs="Arial"/>
          <w:sz w:val="20"/>
          <w:szCs w:val="20"/>
        </w:rPr>
      </w:pPr>
      <w:r w:rsidRPr="000A1AEA">
        <w:rPr>
          <w:rFonts w:cs="Arial"/>
          <w:sz w:val="20"/>
          <w:szCs w:val="20"/>
        </w:rPr>
        <w:t>net foreign currency exposures from forecast sales and purchases;</w:t>
      </w:r>
    </w:p>
    <w:p w14:paraId="1AE2F630" w14:textId="77777777" w:rsidR="000A1AEA" w:rsidRPr="000A1AEA" w:rsidRDefault="000A1AEA" w:rsidP="000A1AEA">
      <w:pPr>
        <w:numPr>
          <w:ilvl w:val="0"/>
          <w:numId w:val="13"/>
        </w:numPr>
        <w:spacing w:after="0" w:line="240" w:lineRule="auto"/>
        <w:jc w:val="both"/>
        <w:rPr>
          <w:rFonts w:cs="Arial"/>
          <w:sz w:val="20"/>
          <w:szCs w:val="20"/>
        </w:rPr>
      </w:pPr>
      <w:r w:rsidRPr="000A1AEA">
        <w:rPr>
          <w:rFonts w:cs="Arial"/>
          <w:sz w:val="20"/>
          <w:szCs w:val="20"/>
        </w:rPr>
        <w:t>centralised treasury arrangements;</w:t>
      </w:r>
    </w:p>
    <w:p w14:paraId="100B52BA" w14:textId="77777777" w:rsidR="000A1AEA" w:rsidRPr="000A1AEA" w:rsidRDefault="000A1AEA" w:rsidP="000A1AEA">
      <w:pPr>
        <w:numPr>
          <w:ilvl w:val="0"/>
          <w:numId w:val="13"/>
        </w:numPr>
        <w:spacing w:after="0" w:line="240" w:lineRule="auto"/>
        <w:jc w:val="both"/>
        <w:rPr>
          <w:rFonts w:cs="Arial"/>
          <w:sz w:val="20"/>
          <w:szCs w:val="20"/>
        </w:rPr>
      </w:pPr>
      <w:r w:rsidRPr="000A1AEA">
        <w:rPr>
          <w:rFonts w:cs="Arial"/>
          <w:sz w:val="20"/>
          <w:szCs w:val="20"/>
        </w:rPr>
        <w:t>hedges covering exposures of multiple subsidiaries;</w:t>
      </w:r>
    </w:p>
    <w:p w14:paraId="1D716165" w14:textId="77777777" w:rsidR="000A1AEA" w:rsidRPr="000A1AEA" w:rsidRDefault="000A1AEA" w:rsidP="000A1AEA">
      <w:pPr>
        <w:numPr>
          <w:ilvl w:val="0"/>
          <w:numId w:val="13"/>
        </w:numPr>
        <w:spacing w:after="0" w:line="240" w:lineRule="auto"/>
        <w:jc w:val="both"/>
        <w:rPr>
          <w:rFonts w:cs="Arial"/>
          <w:sz w:val="20"/>
          <w:szCs w:val="20"/>
        </w:rPr>
      </w:pPr>
      <w:r w:rsidRPr="000A1AEA">
        <w:rPr>
          <w:rFonts w:cs="Arial"/>
          <w:sz w:val="20"/>
          <w:szCs w:val="20"/>
        </w:rPr>
        <w:t>different timing of transactions within a designated group; and</w:t>
      </w:r>
    </w:p>
    <w:p w14:paraId="21B21F88" w14:textId="77777777" w:rsidR="000A1AEA" w:rsidRPr="000A1AEA" w:rsidRDefault="000A1AEA" w:rsidP="000A1AEA">
      <w:pPr>
        <w:numPr>
          <w:ilvl w:val="0"/>
          <w:numId w:val="13"/>
        </w:numPr>
        <w:spacing w:after="0" w:line="240" w:lineRule="auto"/>
        <w:jc w:val="both"/>
        <w:rPr>
          <w:rFonts w:cs="Arial"/>
          <w:sz w:val="20"/>
          <w:szCs w:val="20"/>
        </w:rPr>
      </w:pPr>
      <w:r w:rsidRPr="000A1AEA">
        <w:rPr>
          <w:rFonts w:cs="Arial"/>
          <w:sz w:val="20"/>
          <w:szCs w:val="20"/>
        </w:rPr>
        <w:t>partial occurrence or cancellation of transactions included in a net position.</w:t>
      </w:r>
    </w:p>
    <w:p w14:paraId="497074F4" w14:textId="64822054" w:rsidR="000A1AEA" w:rsidRPr="000A1AEA" w:rsidRDefault="000A1AEA" w:rsidP="000A1AEA">
      <w:pPr>
        <w:spacing w:after="0" w:line="240" w:lineRule="auto"/>
        <w:jc w:val="both"/>
        <w:rPr>
          <w:rFonts w:cs="Arial"/>
          <w:sz w:val="20"/>
          <w:szCs w:val="20"/>
        </w:rPr>
      </w:pPr>
    </w:p>
    <w:p w14:paraId="7A439897"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10. Overall Costs of Applying, Auditing and Enforcing IFRS 9</w:t>
      </w:r>
    </w:p>
    <w:p w14:paraId="1686BBF0" w14:textId="77777777" w:rsidR="000A1AEA" w:rsidRDefault="000A1AEA" w:rsidP="000A1AEA">
      <w:pPr>
        <w:spacing w:after="0" w:line="240" w:lineRule="auto"/>
        <w:jc w:val="both"/>
        <w:rPr>
          <w:rFonts w:cs="Arial"/>
          <w:sz w:val="20"/>
          <w:szCs w:val="20"/>
        </w:rPr>
      </w:pPr>
    </w:p>
    <w:p w14:paraId="0E41E4E6" w14:textId="6F1F1572" w:rsidR="000A1AEA" w:rsidRDefault="000A1AEA" w:rsidP="000A1AEA">
      <w:pPr>
        <w:spacing w:after="0" w:line="240" w:lineRule="auto"/>
        <w:jc w:val="both"/>
        <w:rPr>
          <w:rFonts w:cs="Arial"/>
          <w:sz w:val="20"/>
          <w:szCs w:val="20"/>
        </w:rPr>
      </w:pPr>
      <w:r w:rsidRPr="000A1AEA">
        <w:rPr>
          <w:rFonts w:cs="Arial"/>
          <w:sz w:val="20"/>
          <w:szCs w:val="20"/>
        </w:rPr>
        <w:t>The initial cost of implementing the IFRS 9 hedge accounting model was expected to arise from changes in systems, processes, documentation and training. It was also expected that ongoing costs would be lower, particularly for less complex hedge relationships.</w:t>
      </w:r>
    </w:p>
    <w:p w14:paraId="65DBB2E8" w14:textId="77777777" w:rsidR="000A1AEA" w:rsidRPr="000A1AEA" w:rsidRDefault="000A1AEA" w:rsidP="000A1AEA">
      <w:pPr>
        <w:spacing w:after="0" w:line="240" w:lineRule="auto"/>
        <w:jc w:val="both"/>
        <w:rPr>
          <w:rFonts w:cs="Arial"/>
          <w:sz w:val="20"/>
          <w:szCs w:val="20"/>
        </w:rPr>
      </w:pPr>
    </w:p>
    <w:p w14:paraId="10F711C4" w14:textId="22BE795E" w:rsidR="000A1AEA" w:rsidRPr="000A1AEA" w:rsidRDefault="000A1AEA" w:rsidP="000A1AEA">
      <w:pPr>
        <w:spacing w:after="0" w:line="240" w:lineRule="auto"/>
        <w:jc w:val="both"/>
        <w:rPr>
          <w:rFonts w:cs="Arial"/>
          <w:sz w:val="20"/>
          <w:szCs w:val="20"/>
        </w:rPr>
      </w:pPr>
      <w:r w:rsidRPr="000A1AEA">
        <w:rPr>
          <w:rFonts w:cs="Arial"/>
          <w:sz w:val="20"/>
          <w:szCs w:val="20"/>
        </w:rPr>
        <w:t xml:space="preserve">In </w:t>
      </w:r>
      <w:r w:rsidR="008C74A4">
        <w:rPr>
          <w:rFonts w:cs="Arial"/>
          <w:sz w:val="20"/>
          <w:szCs w:val="20"/>
        </w:rPr>
        <w:t xml:space="preserve">My </w:t>
      </w:r>
      <w:r w:rsidRPr="000A1AEA">
        <w:rPr>
          <w:rFonts w:cs="Arial"/>
          <w:sz w:val="20"/>
          <w:szCs w:val="20"/>
        </w:rPr>
        <w:t>view, the ongoing cost has reduced in certain respects, mainly because entities are no longer required to satisfy the retrospective 80% to 125% test. However, the overall reduction has not been as significant for entities that:</w:t>
      </w:r>
    </w:p>
    <w:p w14:paraId="7171473E" w14:textId="77777777" w:rsidR="000A1AEA" w:rsidRPr="000A1AEA" w:rsidRDefault="000A1AEA" w:rsidP="000A1AEA">
      <w:pPr>
        <w:numPr>
          <w:ilvl w:val="0"/>
          <w:numId w:val="14"/>
        </w:numPr>
        <w:spacing w:after="0" w:line="240" w:lineRule="auto"/>
        <w:jc w:val="both"/>
        <w:rPr>
          <w:rFonts w:cs="Arial"/>
          <w:sz w:val="20"/>
          <w:szCs w:val="20"/>
        </w:rPr>
      </w:pPr>
      <w:r w:rsidRPr="000A1AEA">
        <w:rPr>
          <w:rFonts w:cs="Arial"/>
          <w:sz w:val="20"/>
          <w:szCs w:val="20"/>
        </w:rPr>
        <w:t xml:space="preserve">maintain </w:t>
      </w:r>
      <w:proofErr w:type="gramStart"/>
      <w:r w:rsidRPr="000A1AEA">
        <w:rPr>
          <w:rFonts w:cs="Arial"/>
          <w:sz w:val="20"/>
          <w:szCs w:val="20"/>
        </w:rPr>
        <w:t>a large number of</w:t>
      </w:r>
      <w:proofErr w:type="gramEnd"/>
      <w:r w:rsidRPr="000A1AEA">
        <w:rPr>
          <w:rFonts w:cs="Arial"/>
          <w:sz w:val="20"/>
          <w:szCs w:val="20"/>
        </w:rPr>
        <w:t xml:space="preserve"> hedging relationships;</w:t>
      </w:r>
    </w:p>
    <w:p w14:paraId="21C71AD3" w14:textId="77777777" w:rsidR="000A1AEA" w:rsidRPr="000A1AEA" w:rsidRDefault="000A1AEA" w:rsidP="000A1AEA">
      <w:pPr>
        <w:numPr>
          <w:ilvl w:val="0"/>
          <w:numId w:val="14"/>
        </w:numPr>
        <w:spacing w:after="0" w:line="240" w:lineRule="auto"/>
        <w:jc w:val="both"/>
        <w:rPr>
          <w:rFonts w:cs="Arial"/>
          <w:sz w:val="20"/>
          <w:szCs w:val="20"/>
        </w:rPr>
      </w:pPr>
      <w:r w:rsidRPr="000A1AEA">
        <w:rPr>
          <w:rFonts w:cs="Arial"/>
          <w:sz w:val="20"/>
          <w:szCs w:val="20"/>
        </w:rPr>
        <w:t>rely on manual records or spreadsheets;</w:t>
      </w:r>
    </w:p>
    <w:p w14:paraId="6E5CC985" w14:textId="77777777" w:rsidR="000A1AEA" w:rsidRPr="000A1AEA" w:rsidRDefault="000A1AEA" w:rsidP="000A1AEA">
      <w:pPr>
        <w:numPr>
          <w:ilvl w:val="0"/>
          <w:numId w:val="14"/>
        </w:numPr>
        <w:spacing w:after="0" w:line="240" w:lineRule="auto"/>
        <w:jc w:val="both"/>
        <w:rPr>
          <w:rFonts w:cs="Arial"/>
          <w:sz w:val="20"/>
          <w:szCs w:val="20"/>
        </w:rPr>
      </w:pPr>
      <w:r w:rsidRPr="000A1AEA">
        <w:rPr>
          <w:rFonts w:cs="Arial"/>
          <w:sz w:val="20"/>
          <w:szCs w:val="20"/>
        </w:rPr>
        <w:t>do not have integrated treasury and accounting systems;</w:t>
      </w:r>
    </w:p>
    <w:p w14:paraId="78ABEE58" w14:textId="77777777" w:rsidR="000A1AEA" w:rsidRPr="000A1AEA" w:rsidRDefault="000A1AEA" w:rsidP="000A1AEA">
      <w:pPr>
        <w:numPr>
          <w:ilvl w:val="0"/>
          <w:numId w:val="14"/>
        </w:numPr>
        <w:spacing w:after="0" w:line="240" w:lineRule="auto"/>
        <w:jc w:val="both"/>
        <w:rPr>
          <w:rFonts w:cs="Arial"/>
          <w:sz w:val="20"/>
          <w:szCs w:val="20"/>
        </w:rPr>
      </w:pPr>
      <w:r w:rsidRPr="000A1AEA">
        <w:rPr>
          <w:rFonts w:cs="Arial"/>
          <w:sz w:val="20"/>
          <w:szCs w:val="20"/>
        </w:rPr>
        <w:t>require external valuation support;</w:t>
      </w:r>
    </w:p>
    <w:p w14:paraId="76E3B00F" w14:textId="77777777" w:rsidR="000A1AEA" w:rsidRPr="000A1AEA" w:rsidRDefault="000A1AEA" w:rsidP="000A1AEA">
      <w:pPr>
        <w:numPr>
          <w:ilvl w:val="0"/>
          <w:numId w:val="14"/>
        </w:numPr>
        <w:spacing w:after="0" w:line="240" w:lineRule="auto"/>
        <w:jc w:val="both"/>
        <w:rPr>
          <w:rFonts w:cs="Arial"/>
          <w:sz w:val="20"/>
          <w:szCs w:val="20"/>
        </w:rPr>
      </w:pPr>
      <w:r w:rsidRPr="000A1AEA">
        <w:rPr>
          <w:rFonts w:cs="Arial"/>
          <w:sz w:val="20"/>
          <w:szCs w:val="20"/>
        </w:rPr>
        <w:t>hedge commodities or non-financial risk components; or</w:t>
      </w:r>
    </w:p>
    <w:p w14:paraId="17E626AA" w14:textId="77777777" w:rsidR="000A1AEA" w:rsidRPr="000A1AEA" w:rsidRDefault="000A1AEA" w:rsidP="000A1AEA">
      <w:pPr>
        <w:numPr>
          <w:ilvl w:val="0"/>
          <w:numId w:val="14"/>
        </w:numPr>
        <w:spacing w:after="0" w:line="240" w:lineRule="auto"/>
        <w:jc w:val="both"/>
        <w:rPr>
          <w:rFonts w:cs="Arial"/>
          <w:sz w:val="20"/>
          <w:szCs w:val="20"/>
        </w:rPr>
      </w:pPr>
      <w:r w:rsidRPr="000A1AEA">
        <w:rPr>
          <w:rFonts w:cs="Arial"/>
          <w:sz w:val="20"/>
          <w:szCs w:val="20"/>
        </w:rPr>
        <w:t>apply the cost of hedging and basis adjustment requirements.</w:t>
      </w:r>
    </w:p>
    <w:p w14:paraId="07BD534C" w14:textId="77777777" w:rsidR="000A1AEA" w:rsidRDefault="000A1AEA" w:rsidP="000A1AEA">
      <w:pPr>
        <w:spacing w:after="0" w:line="240" w:lineRule="auto"/>
        <w:jc w:val="both"/>
        <w:rPr>
          <w:rFonts w:cs="Arial"/>
          <w:sz w:val="20"/>
          <w:szCs w:val="20"/>
        </w:rPr>
      </w:pPr>
    </w:p>
    <w:p w14:paraId="7365FAEE" w14:textId="386B4EDD" w:rsidR="000A1AEA" w:rsidRDefault="000A1AEA" w:rsidP="000A1AEA">
      <w:pPr>
        <w:spacing w:after="0" w:line="240" w:lineRule="auto"/>
        <w:jc w:val="both"/>
        <w:rPr>
          <w:rFonts w:cs="Arial"/>
          <w:sz w:val="20"/>
          <w:szCs w:val="20"/>
        </w:rPr>
      </w:pPr>
      <w:r w:rsidRPr="000A1AEA">
        <w:rPr>
          <w:rFonts w:cs="Arial"/>
          <w:sz w:val="20"/>
          <w:szCs w:val="20"/>
        </w:rPr>
        <w:t>Audit costs also remain significant because the auditor must evaluate the entity’s risk management documentation, forecast transaction assessment, valuation methodology, hedge ratio, effectiveness assessment, reserve movements and disclosures.</w:t>
      </w:r>
    </w:p>
    <w:p w14:paraId="4EFF0E74" w14:textId="77777777" w:rsidR="000A1AEA" w:rsidRPr="000A1AEA" w:rsidRDefault="000A1AEA" w:rsidP="000A1AEA">
      <w:pPr>
        <w:spacing w:after="0" w:line="240" w:lineRule="auto"/>
        <w:jc w:val="both"/>
        <w:rPr>
          <w:rFonts w:cs="Arial"/>
          <w:sz w:val="20"/>
          <w:szCs w:val="20"/>
        </w:rPr>
      </w:pPr>
    </w:p>
    <w:p w14:paraId="2A587EFD" w14:textId="77777777" w:rsidR="000A1AEA" w:rsidRPr="000A1AEA" w:rsidRDefault="000A1AEA" w:rsidP="000A1AEA">
      <w:pPr>
        <w:spacing w:after="0" w:line="240" w:lineRule="auto"/>
        <w:jc w:val="both"/>
        <w:rPr>
          <w:rFonts w:cs="Arial"/>
          <w:sz w:val="20"/>
          <w:szCs w:val="20"/>
        </w:rPr>
      </w:pPr>
      <w:r w:rsidRPr="000A1AEA">
        <w:rPr>
          <w:rFonts w:cs="Arial"/>
          <w:sz w:val="20"/>
          <w:szCs w:val="20"/>
        </w:rPr>
        <w:t>Therefore, while the nature of the work has changed, the overall effort has not necessarily reduced proportionately.</w:t>
      </w:r>
    </w:p>
    <w:p w14:paraId="200C7393" w14:textId="77777777" w:rsidR="000A1AEA" w:rsidRPr="000A1AEA" w:rsidRDefault="000A1AEA" w:rsidP="000A1AEA">
      <w:pPr>
        <w:spacing w:after="0" w:line="240" w:lineRule="auto"/>
        <w:jc w:val="both"/>
        <w:rPr>
          <w:rFonts w:cs="Arial"/>
          <w:sz w:val="20"/>
          <w:szCs w:val="20"/>
        </w:rPr>
      </w:pPr>
      <w:r w:rsidRPr="000A1AEA">
        <w:rPr>
          <w:rFonts w:cs="Arial"/>
          <w:sz w:val="20"/>
          <w:szCs w:val="20"/>
        </w:rPr>
        <w:t>The IASB should focus on simplifying the application of existing requirements rather than introducing additional conditions or documentation requirements.</w:t>
      </w:r>
    </w:p>
    <w:p w14:paraId="18BA82B4" w14:textId="29DA6038" w:rsidR="000A1AEA" w:rsidRPr="000A1AEA" w:rsidRDefault="000A1AEA" w:rsidP="000A1AEA">
      <w:pPr>
        <w:spacing w:after="0" w:line="240" w:lineRule="auto"/>
        <w:jc w:val="both"/>
        <w:rPr>
          <w:rFonts w:cs="Arial"/>
          <w:sz w:val="20"/>
          <w:szCs w:val="20"/>
        </w:rPr>
      </w:pPr>
    </w:p>
    <w:p w14:paraId="463504FD"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11. Benefits to Users</w:t>
      </w:r>
    </w:p>
    <w:p w14:paraId="4A4CD12C" w14:textId="77777777" w:rsidR="000A1AEA" w:rsidRDefault="000A1AEA" w:rsidP="000A1AEA">
      <w:pPr>
        <w:spacing w:after="0" w:line="240" w:lineRule="auto"/>
        <w:jc w:val="both"/>
        <w:rPr>
          <w:rFonts w:cs="Arial"/>
          <w:sz w:val="20"/>
          <w:szCs w:val="20"/>
        </w:rPr>
      </w:pPr>
    </w:p>
    <w:p w14:paraId="7B0D3054" w14:textId="39AA0349" w:rsidR="000A1AEA" w:rsidRPr="000A1AEA" w:rsidRDefault="000A1AEA" w:rsidP="000A1AEA">
      <w:pPr>
        <w:spacing w:after="0" w:line="240" w:lineRule="auto"/>
        <w:jc w:val="both"/>
        <w:rPr>
          <w:rFonts w:cs="Arial"/>
          <w:sz w:val="20"/>
          <w:szCs w:val="20"/>
        </w:rPr>
      </w:pPr>
      <w:r w:rsidRPr="000A1AEA">
        <w:rPr>
          <w:rFonts w:cs="Arial"/>
          <w:sz w:val="20"/>
          <w:szCs w:val="20"/>
        </w:rPr>
        <w:t>Hedge accounting provides useful information when it enables users to understand:</w:t>
      </w:r>
    </w:p>
    <w:p w14:paraId="4403FF3A" w14:textId="77777777" w:rsidR="000A1AEA" w:rsidRPr="000A1AEA" w:rsidRDefault="000A1AEA" w:rsidP="000A1AEA">
      <w:pPr>
        <w:numPr>
          <w:ilvl w:val="0"/>
          <w:numId w:val="15"/>
        </w:numPr>
        <w:spacing w:after="0" w:line="240" w:lineRule="auto"/>
        <w:jc w:val="both"/>
        <w:rPr>
          <w:rFonts w:cs="Arial"/>
          <w:sz w:val="20"/>
          <w:szCs w:val="20"/>
        </w:rPr>
      </w:pPr>
      <w:r w:rsidRPr="000A1AEA">
        <w:rPr>
          <w:rFonts w:cs="Arial"/>
          <w:sz w:val="20"/>
          <w:szCs w:val="20"/>
        </w:rPr>
        <w:t>the risks being managed;</w:t>
      </w:r>
    </w:p>
    <w:p w14:paraId="68631F85" w14:textId="77777777" w:rsidR="000A1AEA" w:rsidRPr="000A1AEA" w:rsidRDefault="000A1AEA" w:rsidP="000A1AEA">
      <w:pPr>
        <w:numPr>
          <w:ilvl w:val="0"/>
          <w:numId w:val="15"/>
        </w:numPr>
        <w:spacing w:after="0" w:line="240" w:lineRule="auto"/>
        <w:jc w:val="both"/>
        <w:rPr>
          <w:rFonts w:cs="Arial"/>
          <w:sz w:val="20"/>
          <w:szCs w:val="20"/>
        </w:rPr>
      </w:pPr>
      <w:r w:rsidRPr="000A1AEA">
        <w:rPr>
          <w:rFonts w:cs="Arial"/>
          <w:sz w:val="20"/>
          <w:szCs w:val="20"/>
        </w:rPr>
        <w:t>the instruments used to manage those risks;</w:t>
      </w:r>
    </w:p>
    <w:p w14:paraId="3DBD2E26" w14:textId="77777777" w:rsidR="000A1AEA" w:rsidRPr="000A1AEA" w:rsidRDefault="000A1AEA" w:rsidP="000A1AEA">
      <w:pPr>
        <w:numPr>
          <w:ilvl w:val="0"/>
          <w:numId w:val="15"/>
        </w:numPr>
        <w:spacing w:after="0" w:line="240" w:lineRule="auto"/>
        <w:jc w:val="both"/>
        <w:rPr>
          <w:rFonts w:cs="Arial"/>
          <w:sz w:val="20"/>
          <w:szCs w:val="20"/>
        </w:rPr>
      </w:pPr>
      <w:r w:rsidRPr="000A1AEA">
        <w:rPr>
          <w:rFonts w:cs="Arial"/>
          <w:sz w:val="20"/>
          <w:szCs w:val="20"/>
        </w:rPr>
        <w:t>the effect of the hedging strategy on profit or loss and other comprehensive income; and</w:t>
      </w:r>
    </w:p>
    <w:p w14:paraId="1DA032CF" w14:textId="77777777" w:rsidR="000A1AEA" w:rsidRPr="000A1AEA" w:rsidRDefault="000A1AEA" w:rsidP="000A1AEA">
      <w:pPr>
        <w:numPr>
          <w:ilvl w:val="0"/>
          <w:numId w:val="15"/>
        </w:numPr>
        <w:spacing w:after="0" w:line="240" w:lineRule="auto"/>
        <w:jc w:val="both"/>
        <w:rPr>
          <w:rFonts w:cs="Arial"/>
          <w:sz w:val="20"/>
          <w:szCs w:val="20"/>
        </w:rPr>
      </w:pPr>
      <w:r w:rsidRPr="000A1AEA">
        <w:rPr>
          <w:rFonts w:cs="Arial"/>
          <w:sz w:val="20"/>
          <w:szCs w:val="20"/>
        </w:rPr>
        <w:t>the timing and uncertainty of future cash flows.</w:t>
      </w:r>
    </w:p>
    <w:p w14:paraId="52CD11B9" w14:textId="77777777" w:rsidR="000A1AEA" w:rsidRDefault="000A1AEA" w:rsidP="000A1AEA">
      <w:pPr>
        <w:spacing w:after="0" w:line="240" w:lineRule="auto"/>
        <w:jc w:val="both"/>
        <w:rPr>
          <w:rFonts w:cs="Arial"/>
          <w:sz w:val="20"/>
          <w:szCs w:val="20"/>
        </w:rPr>
      </w:pPr>
    </w:p>
    <w:p w14:paraId="25CA0239" w14:textId="00017408" w:rsidR="000A1AEA" w:rsidRDefault="000A1AEA" w:rsidP="000A1AEA">
      <w:pPr>
        <w:spacing w:after="0" w:line="240" w:lineRule="auto"/>
        <w:jc w:val="both"/>
        <w:rPr>
          <w:rFonts w:cs="Arial"/>
          <w:sz w:val="20"/>
          <w:szCs w:val="20"/>
        </w:rPr>
      </w:pPr>
      <w:r w:rsidRPr="000A1AEA">
        <w:rPr>
          <w:rFonts w:cs="Arial"/>
          <w:sz w:val="20"/>
          <w:szCs w:val="20"/>
        </w:rPr>
        <w:t>The principal benefit of IFRS 9 is that it reduces accounting mismatches that could otherwise obscure the economic effect of a risk management strategy.</w:t>
      </w:r>
    </w:p>
    <w:p w14:paraId="198EA4F8" w14:textId="77777777" w:rsidR="000A1AEA" w:rsidRPr="000A1AEA" w:rsidRDefault="000A1AEA" w:rsidP="000A1AEA">
      <w:pPr>
        <w:spacing w:after="0" w:line="240" w:lineRule="auto"/>
        <w:jc w:val="both"/>
        <w:rPr>
          <w:rFonts w:cs="Arial"/>
          <w:sz w:val="20"/>
          <w:szCs w:val="20"/>
        </w:rPr>
      </w:pPr>
    </w:p>
    <w:p w14:paraId="51C40213" w14:textId="77777777" w:rsidR="000A1AEA" w:rsidRDefault="000A1AEA" w:rsidP="000A1AEA">
      <w:pPr>
        <w:spacing w:after="0" w:line="240" w:lineRule="auto"/>
        <w:jc w:val="both"/>
        <w:rPr>
          <w:rFonts w:cs="Arial"/>
          <w:sz w:val="20"/>
          <w:szCs w:val="20"/>
        </w:rPr>
      </w:pPr>
      <w:r w:rsidRPr="000A1AEA">
        <w:rPr>
          <w:rFonts w:cs="Arial"/>
          <w:sz w:val="20"/>
          <w:szCs w:val="20"/>
        </w:rPr>
        <w:t>However, the usefulness of the resulting information is reduced when hedge accounting is not applied to a valid economic hedge because of documentation, valuation or system constraints. In those circumstances, volatility may be recognised in profit or loss even though the entity has economically reduced its exposure.</w:t>
      </w:r>
    </w:p>
    <w:p w14:paraId="209C2EA4" w14:textId="77777777" w:rsidR="000A1AEA" w:rsidRPr="000A1AEA" w:rsidRDefault="000A1AEA" w:rsidP="000A1AEA">
      <w:pPr>
        <w:spacing w:after="0" w:line="240" w:lineRule="auto"/>
        <w:jc w:val="both"/>
        <w:rPr>
          <w:rFonts w:cs="Arial"/>
          <w:sz w:val="20"/>
          <w:szCs w:val="20"/>
        </w:rPr>
      </w:pPr>
    </w:p>
    <w:p w14:paraId="679063AC" w14:textId="77777777" w:rsidR="000A1AEA" w:rsidRPr="000A1AEA" w:rsidRDefault="000A1AEA" w:rsidP="000A1AEA">
      <w:pPr>
        <w:spacing w:after="0" w:line="240" w:lineRule="auto"/>
        <w:jc w:val="both"/>
        <w:rPr>
          <w:rFonts w:cs="Arial"/>
          <w:sz w:val="20"/>
          <w:szCs w:val="20"/>
        </w:rPr>
      </w:pPr>
      <w:r w:rsidRPr="000A1AEA">
        <w:rPr>
          <w:rFonts w:cs="Arial"/>
          <w:sz w:val="20"/>
          <w:szCs w:val="20"/>
        </w:rPr>
        <w:t>Accordingly, proportionate simplification could improve, rather than reduce, the usefulness of financial reporting by allowing more genuine risk management relationships to qualify for hedge accounting.</w:t>
      </w:r>
    </w:p>
    <w:p w14:paraId="294CB658" w14:textId="22B61C14" w:rsidR="000A1AEA" w:rsidRPr="000A1AEA" w:rsidRDefault="000A1AEA" w:rsidP="000A1AEA">
      <w:pPr>
        <w:spacing w:after="0" w:line="240" w:lineRule="auto"/>
        <w:jc w:val="both"/>
        <w:rPr>
          <w:rFonts w:cs="Arial"/>
          <w:sz w:val="20"/>
          <w:szCs w:val="20"/>
        </w:rPr>
      </w:pPr>
    </w:p>
    <w:p w14:paraId="1908DE90" w14:textId="77777777" w:rsidR="000A1AEA" w:rsidRDefault="000A1AEA" w:rsidP="000A1AEA">
      <w:pPr>
        <w:spacing w:after="0" w:line="240" w:lineRule="auto"/>
        <w:jc w:val="both"/>
        <w:rPr>
          <w:rFonts w:cs="Arial"/>
          <w:b/>
          <w:bCs/>
          <w:sz w:val="20"/>
          <w:szCs w:val="20"/>
        </w:rPr>
      </w:pPr>
    </w:p>
    <w:p w14:paraId="621C5A87" w14:textId="77777777" w:rsidR="000A1AEA" w:rsidRDefault="000A1AEA" w:rsidP="000A1AEA">
      <w:pPr>
        <w:spacing w:after="0" w:line="240" w:lineRule="auto"/>
        <w:jc w:val="both"/>
        <w:rPr>
          <w:rFonts w:cs="Arial"/>
          <w:b/>
          <w:bCs/>
          <w:sz w:val="20"/>
          <w:szCs w:val="20"/>
        </w:rPr>
      </w:pPr>
    </w:p>
    <w:p w14:paraId="7FD6501E" w14:textId="77777777" w:rsidR="000A1AEA" w:rsidRDefault="000A1AEA" w:rsidP="000A1AEA">
      <w:pPr>
        <w:spacing w:after="0" w:line="240" w:lineRule="auto"/>
        <w:jc w:val="both"/>
        <w:rPr>
          <w:rFonts w:cs="Arial"/>
          <w:b/>
          <w:bCs/>
          <w:sz w:val="20"/>
          <w:szCs w:val="20"/>
        </w:rPr>
      </w:pPr>
    </w:p>
    <w:p w14:paraId="52022589" w14:textId="77777777" w:rsidR="000A1AEA" w:rsidRDefault="000A1AEA" w:rsidP="000A1AEA">
      <w:pPr>
        <w:spacing w:after="0" w:line="240" w:lineRule="auto"/>
        <w:jc w:val="both"/>
        <w:rPr>
          <w:rFonts w:cs="Arial"/>
          <w:b/>
          <w:bCs/>
          <w:sz w:val="20"/>
          <w:szCs w:val="20"/>
        </w:rPr>
      </w:pPr>
    </w:p>
    <w:p w14:paraId="0068084D" w14:textId="77777777" w:rsidR="000A1AEA" w:rsidRDefault="000A1AEA" w:rsidP="000A1AEA">
      <w:pPr>
        <w:spacing w:after="0" w:line="240" w:lineRule="auto"/>
        <w:jc w:val="both"/>
        <w:rPr>
          <w:rFonts w:cs="Arial"/>
          <w:b/>
          <w:bCs/>
          <w:sz w:val="20"/>
          <w:szCs w:val="20"/>
        </w:rPr>
      </w:pPr>
    </w:p>
    <w:p w14:paraId="2581C814" w14:textId="77777777" w:rsidR="000A1AEA" w:rsidRDefault="000A1AEA" w:rsidP="000A1AEA">
      <w:pPr>
        <w:spacing w:after="0" w:line="240" w:lineRule="auto"/>
        <w:jc w:val="both"/>
        <w:rPr>
          <w:rFonts w:cs="Arial"/>
          <w:b/>
          <w:bCs/>
          <w:sz w:val="20"/>
          <w:szCs w:val="20"/>
        </w:rPr>
      </w:pPr>
    </w:p>
    <w:p w14:paraId="7EFC2748" w14:textId="3213326A" w:rsidR="000A1AEA" w:rsidRPr="000A1AEA" w:rsidRDefault="000A1AEA" w:rsidP="000A1AEA">
      <w:pPr>
        <w:spacing w:after="0" w:line="240" w:lineRule="auto"/>
        <w:jc w:val="both"/>
        <w:rPr>
          <w:rFonts w:cs="Arial"/>
          <w:b/>
          <w:bCs/>
          <w:sz w:val="20"/>
          <w:szCs w:val="20"/>
        </w:rPr>
      </w:pPr>
      <w:r w:rsidRPr="000A1AEA">
        <w:rPr>
          <w:rFonts w:cs="Arial"/>
          <w:b/>
          <w:bCs/>
          <w:sz w:val="20"/>
          <w:szCs w:val="20"/>
        </w:rPr>
        <w:lastRenderedPageBreak/>
        <w:t>12. Proposed Withdrawal of IAS 39</w:t>
      </w:r>
    </w:p>
    <w:p w14:paraId="5BDCD199" w14:textId="77777777" w:rsidR="000A1AEA" w:rsidRDefault="000A1AEA" w:rsidP="000A1AEA">
      <w:pPr>
        <w:spacing w:after="0" w:line="240" w:lineRule="auto"/>
        <w:jc w:val="both"/>
        <w:rPr>
          <w:rFonts w:cs="Arial"/>
          <w:sz w:val="20"/>
          <w:szCs w:val="20"/>
        </w:rPr>
      </w:pPr>
    </w:p>
    <w:p w14:paraId="2A7BE2C7" w14:textId="3F5FDE38" w:rsidR="000A1AEA" w:rsidRPr="000A1AEA" w:rsidRDefault="000A1AEA" w:rsidP="000A1AEA">
      <w:pPr>
        <w:spacing w:after="0" w:line="240" w:lineRule="auto"/>
        <w:jc w:val="both"/>
        <w:rPr>
          <w:rFonts w:cs="Arial"/>
          <w:sz w:val="20"/>
          <w:szCs w:val="20"/>
        </w:rPr>
      </w:pPr>
      <w:r w:rsidRPr="000A1AEA">
        <w:rPr>
          <w:rFonts w:cs="Arial"/>
          <w:sz w:val="20"/>
          <w:szCs w:val="20"/>
        </w:rPr>
        <w:t>IAS 39 should not be withdrawn until the IASB is satisfied that IFRS 9, together with the outcome of the risk mitigation accounting project, provides a workable framework for entities managing dynamic portfolios and similar risk exposures.</w:t>
      </w:r>
    </w:p>
    <w:p w14:paraId="6094D3E4" w14:textId="77777777" w:rsidR="000A1AEA" w:rsidRDefault="000A1AEA" w:rsidP="000A1AEA">
      <w:pPr>
        <w:spacing w:after="0" w:line="240" w:lineRule="auto"/>
        <w:jc w:val="both"/>
        <w:rPr>
          <w:rFonts w:cs="Arial"/>
          <w:sz w:val="20"/>
          <w:szCs w:val="20"/>
        </w:rPr>
      </w:pPr>
    </w:p>
    <w:p w14:paraId="6DB7BC3D" w14:textId="4161D0D2" w:rsidR="000A1AEA" w:rsidRPr="000A1AEA" w:rsidRDefault="000A1AEA" w:rsidP="000A1AEA">
      <w:pPr>
        <w:spacing w:after="0" w:line="240" w:lineRule="auto"/>
        <w:jc w:val="both"/>
        <w:rPr>
          <w:rFonts w:cs="Arial"/>
          <w:sz w:val="20"/>
          <w:szCs w:val="20"/>
        </w:rPr>
      </w:pPr>
      <w:r w:rsidRPr="000A1AEA">
        <w:rPr>
          <w:rFonts w:cs="Arial"/>
          <w:sz w:val="20"/>
          <w:szCs w:val="20"/>
        </w:rPr>
        <w:t>Before the withdrawal of IAS 39, the IASB should:</w:t>
      </w:r>
    </w:p>
    <w:p w14:paraId="3CBD6918" w14:textId="77777777" w:rsidR="000A1AEA" w:rsidRPr="000A1AEA" w:rsidRDefault="000A1AEA" w:rsidP="000A1AEA">
      <w:pPr>
        <w:numPr>
          <w:ilvl w:val="0"/>
          <w:numId w:val="16"/>
        </w:numPr>
        <w:spacing w:after="0" w:line="240" w:lineRule="auto"/>
        <w:jc w:val="both"/>
        <w:rPr>
          <w:rFonts w:cs="Arial"/>
          <w:sz w:val="20"/>
          <w:szCs w:val="20"/>
        </w:rPr>
      </w:pPr>
      <w:r w:rsidRPr="000A1AEA">
        <w:rPr>
          <w:rFonts w:cs="Arial"/>
          <w:sz w:val="20"/>
          <w:szCs w:val="20"/>
        </w:rPr>
        <w:t>explain the interaction between IFRS 9 and the final risk mitigation accounting model;</w:t>
      </w:r>
    </w:p>
    <w:p w14:paraId="49759E27" w14:textId="77777777" w:rsidR="000A1AEA" w:rsidRPr="000A1AEA" w:rsidRDefault="000A1AEA" w:rsidP="000A1AEA">
      <w:pPr>
        <w:numPr>
          <w:ilvl w:val="0"/>
          <w:numId w:val="16"/>
        </w:numPr>
        <w:spacing w:after="0" w:line="240" w:lineRule="auto"/>
        <w:jc w:val="both"/>
        <w:rPr>
          <w:rFonts w:cs="Arial"/>
          <w:sz w:val="20"/>
          <w:szCs w:val="20"/>
        </w:rPr>
      </w:pPr>
      <w:r w:rsidRPr="000A1AEA">
        <w:rPr>
          <w:rFonts w:cs="Arial"/>
          <w:sz w:val="20"/>
          <w:szCs w:val="20"/>
        </w:rPr>
        <w:t>provide sufficient transition provisions;</w:t>
      </w:r>
    </w:p>
    <w:p w14:paraId="40410F3E" w14:textId="77777777" w:rsidR="000A1AEA" w:rsidRPr="000A1AEA" w:rsidRDefault="000A1AEA" w:rsidP="000A1AEA">
      <w:pPr>
        <w:numPr>
          <w:ilvl w:val="0"/>
          <w:numId w:val="16"/>
        </w:numPr>
        <w:spacing w:after="0" w:line="240" w:lineRule="auto"/>
        <w:jc w:val="both"/>
        <w:rPr>
          <w:rFonts w:cs="Arial"/>
          <w:sz w:val="20"/>
          <w:szCs w:val="20"/>
        </w:rPr>
      </w:pPr>
      <w:r w:rsidRPr="000A1AEA">
        <w:rPr>
          <w:rFonts w:cs="Arial"/>
          <w:sz w:val="20"/>
          <w:szCs w:val="20"/>
        </w:rPr>
        <w:t>consider relief from reconstructing historical hedge relationships;</w:t>
      </w:r>
    </w:p>
    <w:p w14:paraId="1AF28588" w14:textId="77777777" w:rsidR="000A1AEA" w:rsidRPr="000A1AEA" w:rsidRDefault="000A1AEA" w:rsidP="000A1AEA">
      <w:pPr>
        <w:numPr>
          <w:ilvl w:val="0"/>
          <w:numId w:val="16"/>
        </w:numPr>
        <w:spacing w:after="0" w:line="240" w:lineRule="auto"/>
        <w:jc w:val="both"/>
        <w:rPr>
          <w:rFonts w:cs="Arial"/>
          <w:sz w:val="20"/>
          <w:szCs w:val="20"/>
        </w:rPr>
      </w:pPr>
      <w:r w:rsidRPr="000A1AEA">
        <w:rPr>
          <w:rFonts w:cs="Arial"/>
          <w:sz w:val="20"/>
          <w:szCs w:val="20"/>
        </w:rPr>
        <w:t>address the treatment of existing hedge reserves;</w:t>
      </w:r>
    </w:p>
    <w:p w14:paraId="64F97B3C" w14:textId="77777777" w:rsidR="000A1AEA" w:rsidRPr="000A1AEA" w:rsidRDefault="000A1AEA" w:rsidP="000A1AEA">
      <w:pPr>
        <w:numPr>
          <w:ilvl w:val="0"/>
          <w:numId w:val="16"/>
        </w:numPr>
        <w:spacing w:after="0" w:line="240" w:lineRule="auto"/>
        <w:jc w:val="both"/>
        <w:rPr>
          <w:rFonts w:cs="Arial"/>
          <w:sz w:val="20"/>
          <w:szCs w:val="20"/>
        </w:rPr>
      </w:pPr>
      <w:r w:rsidRPr="000A1AEA">
        <w:rPr>
          <w:rFonts w:cs="Arial"/>
          <w:sz w:val="20"/>
          <w:szCs w:val="20"/>
        </w:rPr>
        <w:t>provide adequate time for system and process changes; and</w:t>
      </w:r>
    </w:p>
    <w:p w14:paraId="51F99BEA" w14:textId="77777777" w:rsidR="000A1AEA" w:rsidRPr="000A1AEA" w:rsidRDefault="000A1AEA" w:rsidP="000A1AEA">
      <w:pPr>
        <w:numPr>
          <w:ilvl w:val="0"/>
          <w:numId w:val="16"/>
        </w:numPr>
        <w:spacing w:after="0" w:line="240" w:lineRule="auto"/>
        <w:jc w:val="both"/>
        <w:rPr>
          <w:rFonts w:cs="Arial"/>
          <w:sz w:val="20"/>
          <w:szCs w:val="20"/>
        </w:rPr>
      </w:pPr>
      <w:r w:rsidRPr="000A1AEA">
        <w:rPr>
          <w:rFonts w:cs="Arial"/>
          <w:sz w:val="20"/>
          <w:szCs w:val="20"/>
        </w:rPr>
        <w:t>avoid unnecessary discontinuity in existing risk management and accounting practices.</w:t>
      </w:r>
    </w:p>
    <w:p w14:paraId="4451E918" w14:textId="77777777" w:rsidR="000A1AEA" w:rsidRDefault="000A1AEA" w:rsidP="000A1AEA">
      <w:pPr>
        <w:spacing w:after="0" w:line="240" w:lineRule="auto"/>
        <w:jc w:val="both"/>
        <w:rPr>
          <w:rFonts w:cs="Arial"/>
          <w:sz w:val="20"/>
          <w:szCs w:val="20"/>
        </w:rPr>
      </w:pPr>
    </w:p>
    <w:p w14:paraId="6FDF4828" w14:textId="7EE578A2" w:rsidR="000A1AEA" w:rsidRPr="000A1AEA" w:rsidRDefault="000A1AEA" w:rsidP="000A1AEA">
      <w:pPr>
        <w:spacing w:after="0" w:line="240" w:lineRule="auto"/>
        <w:jc w:val="both"/>
        <w:rPr>
          <w:rFonts w:cs="Arial"/>
          <w:sz w:val="20"/>
          <w:szCs w:val="20"/>
        </w:rPr>
      </w:pPr>
      <w:r w:rsidRPr="000A1AEA">
        <w:rPr>
          <w:rFonts w:cs="Arial"/>
          <w:sz w:val="20"/>
          <w:szCs w:val="20"/>
        </w:rPr>
        <w:t>The benefits of achieving a single hedge accounting framework should be balanced against the cost and operational disruption that may arise for entities currently continuing with IAS 39 hedge accounting.</w:t>
      </w:r>
    </w:p>
    <w:p w14:paraId="63E012CD" w14:textId="15681C82" w:rsidR="000A1AEA" w:rsidRPr="000A1AEA" w:rsidRDefault="000A1AEA" w:rsidP="000A1AEA">
      <w:pPr>
        <w:spacing w:after="0" w:line="240" w:lineRule="auto"/>
        <w:jc w:val="both"/>
        <w:rPr>
          <w:rFonts w:cs="Arial"/>
          <w:sz w:val="20"/>
          <w:szCs w:val="20"/>
        </w:rPr>
      </w:pPr>
    </w:p>
    <w:p w14:paraId="263E2E72"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QUESTION 2</w:t>
      </w:r>
    </w:p>
    <w:p w14:paraId="4ACBEBEF" w14:textId="77777777" w:rsidR="000A1AEA" w:rsidRDefault="000A1AEA" w:rsidP="000A1AEA">
      <w:pPr>
        <w:spacing w:after="0" w:line="240" w:lineRule="auto"/>
        <w:jc w:val="both"/>
        <w:rPr>
          <w:rFonts w:cs="Arial"/>
          <w:b/>
          <w:bCs/>
          <w:sz w:val="20"/>
          <w:szCs w:val="20"/>
        </w:rPr>
      </w:pPr>
    </w:p>
    <w:p w14:paraId="3A889B70" w14:textId="561A5216" w:rsidR="000A1AEA" w:rsidRPr="000A1AEA" w:rsidRDefault="000A1AEA" w:rsidP="000A1AEA">
      <w:pPr>
        <w:spacing w:after="0" w:line="240" w:lineRule="auto"/>
        <w:jc w:val="both"/>
        <w:rPr>
          <w:rFonts w:cs="Arial"/>
          <w:b/>
          <w:bCs/>
          <w:sz w:val="20"/>
          <w:szCs w:val="20"/>
        </w:rPr>
      </w:pPr>
      <w:r w:rsidRPr="000A1AEA">
        <w:rPr>
          <w:rFonts w:cs="Arial"/>
          <w:b/>
          <w:bCs/>
          <w:sz w:val="20"/>
          <w:szCs w:val="20"/>
        </w:rPr>
        <w:t>Overall Assessment of the Hedge Accounting Disclosure Requirements in IFRS 7</w:t>
      </w:r>
    </w:p>
    <w:p w14:paraId="52A199CC" w14:textId="77777777" w:rsidR="000A1AEA" w:rsidRDefault="000A1AEA" w:rsidP="000A1AEA">
      <w:pPr>
        <w:spacing w:after="0" w:line="240" w:lineRule="auto"/>
        <w:jc w:val="both"/>
        <w:rPr>
          <w:rFonts w:cs="Arial"/>
          <w:b/>
          <w:bCs/>
          <w:sz w:val="20"/>
          <w:szCs w:val="20"/>
        </w:rPr>
      </w:pPr>
    </w:p>
    <w:p w14:paraId="25BFF13B" w14:textId="0C2716C7" w:rsidR="000A1AEA" w:rsidRPr="000A1AEA" w:rsidRDefault="000A1AEA" w:rsidP="000A1AEA">
      <w:pPr>
        <w:spacing w:after="0" w:line="240" w:lineRule="auto"/>
        <w:jc w:val="both"/>
        <w:rPr>
          <w:rFonts w:cs="Arial"/>
          <w:b/>
          <w:bCs/>
          <w:sz w:val="20"/>
          <w:szCs w:val="20"/>
        </w:rPr>
      </w:pPr>
      <w:r w:rsidRPr="000A1AEA">
        <w:rPr>
          <w:rFonts w:cs="Arial"/>
          <w:b/>
          <w:bCs/>
          <w:sz w:val="20"/>
          <w:szCs w:val="20"/>
        </w:rPr>
        <w:t>Question 2(a): Whether the disclosure requirements meet their objective</w:t>
      </w:r>
    </w:p>
    <w:p w14:paraId="42C60F68" w14:textId="77777777" w:rsidR="000A1AEA" w:rsidRDefault="000A1AEA" w:rsidP="000A1AEA">
      <w:pPr>
        <w:spacing w:after="0" w:line="240" w:lineRule="auto"/>
        <w:jc w:val="both"/>
        <w:rPr>
          <w:rFonts w:cs="Arial"/>
          <w:sz w:val="20"/>
          <w:szCs w:val="20"/>
        </w:rPr>
      </w:pPr>
    </w:p>
    <w:p w14:paraId="4F961A3B" w14:textId="1C960838" w:rsidR="000A1AEA" w:rsidRDefault="000A1AEA" w:rsidP="000A1AEA">
      <w:pPr>
        <w:spacing w:after="0" w:line="240" w:lineRule="auto"/>
        <w:jc w:val="both"/>
        <w:rPr>
          <w:rFonts w:cs="Arial"/>
          <w:sz w:val="20"/>
          <w:szCs w:val="20"/>
        </w:rPr>
      </w:pPr>
      <w:r w:rsidRPr="000A1AEA">
        <w:rPr>
          <w:rFonts w:cs="Arial"/>
          <w:sz w:val="20"/>
          <w:szCs w:val="20"/>
        </w:rPr>
        <w:t>The hedge accounting disclosure requirements in IFRS 7 broadly address the relevant areas by requiring information about an entity’s risk management strategy, the effect of hedging activities on future cash flows and the impact of hedge accounting on the financial statements.</w:t>
      </w:r>
    </w:p>
    <w:p w14:paraId="020C7C05" w14:textId="77777777" w:rsidR="000A1AEA" w:rsidRPr="000A1AEA" w:rsidRDefault="000A1AEA" w:rsidP="000A1AEA">
      <w:pPr>
        <w:spacing w:after="0" w:line="240" w:lineRule="auto"/>
        <w:jc w:val="both"/>
        <w:rPr>
          <w:rFonts w:cs="Arial"/>
          <w:sz w:val="20"/>
          <w:szCs w:val="20"/>
        </w:rPr>
      </w:pPr>
    </w:p>
    <w:p w14:paraId="4C79334F" w14:textId="77777777" w:rsidR="000A1AEA" w:rsidRPr="000A1AEA" w:rsidRDefault="000A1AEA" w:rsidP="000A1AEA">
      <w:pPr>
        <w:spacing w:after="0" w:line="240" w:lineRule="auto"/>
        <w:jc w:val="both"/>
        <w:rPr>
          <w:rFonts w:cs="Arial"/>
          <w:sz w:val="20"/>
          <w:szCs w:val="20"/>
        </w:rPr>
      </w:pPr>
      <w:r w:rsidRPr="000A1AEA">
        <w:rPr>
          <w:rFonts w:cs="Arial"/>
          <w:sz w:val="20"/>
          <w:szCs w:val="20"/>
        </w:rPr>
        <w:t>Nevertheless, the practical outcome is mixed. Hedge accounting notes have generally become more detailed, but greater volume does not necessarily result in greater usefulness.</w:t>
      </w:r>
    </w:p>
    <w:p w14:paraId="43D6A3E6" w14:textId="77777777" w:rsidR="000A1AEA" w:rsidRDefault="000A1AEA" w:rsidP="000A1AEA">
      <w:pPr>
        <w:spacing w:after="0" w:line="240" w:lineRule="auto"/>
        <w:jc w:val="both"/>
        <w:rPr>
          <w:rFonts w:cs="Arial"/>
          <w:sz w:val="20"/>
          <w:szCs w:val="20"/>
        </w:rPr>
      </w:pPr>
    </w:p>
    <w:p w14:paraId="60B22A6D" w14:textId="33FE74E1" w:rsidR="000A1AEA" w:rsidRPr="000A1AEA" w:rsidRDefault="000A1AEA" w:rsidP="000A1AEA">
      <w:pPr>
        <w:spacing w:after="0" w:line="240" w:lineRule="auto"/>
        <w:jc w:val="both"/>
        <w:rPr>
          <w:rFonts w:cs="Arial"/>
          <w:sz w:val="20"/>
          <w:szCs w:val="20"/>
        </w:rPr>
      </w:pPr>
      <w:r w:rsidRPr="000A1AEA">
        <w:rPr>
          <w:rFonts w:cs="Arial"/>
          <w:sz w:val="20"/>
          <w:szCs w:val="20"/>
        </w:rPr>
        <w:t>In many financial statements, the disclosures are prepared by combining:</w:t>
      </w:r>
    </w:p>
    <w:p w14:paraId="2E127170"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standard wording based on the requirements of IFRS 7;</w:t>
      </w:r>
    </w:p>
    <w:p w14:paraId="1496A75D"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accounting policy descriptions;</w:t>
      </w:r>
    </w:p>
    <w:p w14:paraId="729F4DCF"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risk management information;</w:t>
      </w:r>
    </w:p>
    <w:p w14:paraId="6478F2C9"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derivative fair value tables;</w:t>
      </w:r>
    </w:p>
    <w:p w14:paraId="0F06FB23"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notional amount and maturity information;</w:t>
      </w:r>
    </w:p>
    <w:p w14:paraId="19DD39B2"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movements in hedge reserves; and</w:t>
      </w:r>
    </w:p>
    <w:p w14:paraId="56FB1C2F" w14:textId="77777777" w:rsidR="000A1AEA" w:rsidRPr="000A1AEA" w:rsidRDefault="000A1AEA" w:rsidP="000A1AEA">
      <w:pPr>
        <w:numPr>
          <w:ilvl w:val="0"/>
          <w:numId w:val="17"/>
        </w:numPr>
        <w:spacing w:after="0" w:line="240" w:lineRule="auto"/>
        <w:jc w:val="both"/>
        <w:rPr>
          <w:rFonts w:cs="Arial"/>
          <w:sz w:val="20"/>
          <w:szCs w:val="20"/>
        </w:rPr>
      </w:pPr>
      <w:r w:rsidRPr="000A1AEA">
        <w:rPr>
          <w:rFonts w:cs="Arial"/>
          <w:sz w:val="20"/>
          <w:szCs w:val="20"/>
        </w:rPr>
        <w:t>information regarding hedge ineffectiveness.</w:t>
      </w:r>
    </w:p>
    <w:p w14:paraId="556C3C2D" w14:textId="77777777" w:rsidR="000A1AEA" w:rsidRDefault="000A1AEA" w:rsidP="000A1AEA">
      <w:pPr>
        <w:spacing w:after="0" w:line="240" w:lineRule="auto"/>
        <w:jc w:val="both"/>
        <w:rPr>
          <w:rFonts w:cs="Arial"/>
          <w:sz w:val="20"/>
          <w:szCs w:val="20"/>
        </w:rPr>
      </w:pPr>
    </w:p>
    <w:p w14:paraId="7A750B97" w14:textId="1C5A75F7" w:rsidR="000A1AEA" w:rsidRDefault="000A1AEA" w:rsidP="000A1AEA">
      <w:pPr>
        <w:spacing w:after="0" w:line="240" w:lineRule="auto"/>
        <w:jc w:val="both"/>
        <w:rPr>
          <w:rFonts w:cs="Arial"/>
          <w:sz w:val="20"/>
          <w:szCs w:val="20"/>
        </w:rPr>
      </w:pPr>
      <w:r w:rsidRPr="000A1AEA">
        <w:rPr>
          <w:rFonts w:cs="Arial"/>
          <w:sz w:val="20"/>
          <w:szCs w:val="20"/>
        </w:rPr>
        <w:t>This can result in a lengthy note in which the key features of the entity’s actual hedging strategy are not immediately clear.</w:t>
      </w:r>
    </w:p>
    <w:p w14:paraId="1A6ABBB2" w14:textId="77777777" w:rsidR="000A1AEA" w:rsidRPr="000A1AEA" w:rsidRDefault="000A1AEA" w:rsidP="000A1AEA">
      <w:pPr>
        <w:spacing w:after="0" w:line="240" w:lineRule="auto"/>
        <w:jc w:val="both"/>
        <w:rPr>
          <w:rFonts w:cs="Arial"/>
          <w:sz w:val="20"/>
          <w:szCs w:val="20"/>
        </w:rPr>
      </w:pPr>
    </w:p>
    <w:p w14:paraId="774A9BDC" w14:textId="77777777" w:rsidR="000A1AEA" w:rsidRPr="000A1AEA" w:rsidRDefault="000A1AEA" w:rsidP="000A1AEA">
      <w:pPr>
        <w:spacing w:after="0" w:line="240" w:lineRule="auto"/>
        <w:jc w:val="both"/>
        <w:rPr>
          <w:rFonts w:cs="Arial"/>
          <w:sz w:val="20"/>
          <w:szCs w:val="20"/>
        </w:rPr>
      </w:pPr>
      <w:r w:rsidRPr="000A1AEA">
        <w:rPr>
          <w:rFonts w:cs="Arial"/>
          <w:sz w:val="20"/>
          <w:szCs w:val="20"/>
        </w:rPr>
        <w:t>The objective of the disclosures would be better achieved if the requirements placed additional emphasis on explaining the entity-specific risk management strategy and less emphasis on presenting information that is immaterial or duplicative.</w:t>
      </w:r>
    </w:p>
    <w:p w14:paraId="044A3871" w14:textId="0BAF5763" w:rsidR="000A1AEA" w:rsidRPr="000A1AEA" w:rsidRDefault="000A1AEA" w:rsidP="000A1AEA">
      <w:pPr>
        <w:spacing w:after="0" w:line="240" w:lineRule="auto"/>
        <w:jc w:val="both"/>
        <w:rPr>
          <w:rFonts w:cs="Arial"/>
          <w:sz w:val="20"/>
          <w:szCs w:val="20"/>
        </w:rPr>
      </w:pPr>
    </w:p>
    <w:p w14:paraId="2E6401B9"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1. Disclosures That Are Most Useful</w:t>
      </w:r>
    </w:p>
    <w:p w14:paraId="1204C41E" w14:textId="77777777" w:rsidR="000A1AEA" w:rsidRDefault="000A1AEA" w:rsidP="000A1AEA">
      <w:pPr>
        <w:spacing w:after="0" w:line="240" w:lineRule="auto"/>
        <w:jc w:val="both"/>
        <w:rPr>
          <w:rFonts w:cs="Arial"/>
          <w:sz w:val="20"/>
          <w:szCs w:val="20"/>
        </w:rPr>
      </w:pPr>
    </w:p>
    <w:p w14:paraId="4DA2D24D" w14:textId="209F97DC" w:rsidR="000A1AEA" w:rsidRPr="000A1AEA" w:rsidRDefault="000A1AEA" w:rsidP="000A1AEA">
      <w:pPr>
        <w:spacing w:after="0" w:line="240" w:lineRule="auto"/>
        <w:jc w:val="both"/>
        <w:rPr>
          <w:rFonts w:cs="Arial"/>
          <w:sz w:val="20"/>
          <w:szCs w:val="20"/>
        </w:rPr>
      </w:pPr>
      <w:r w:rsidRPr="000A1AEA">
        <w:rPr>
          <w:rFonts w:cs="Arial"/>
          <w:sz w:val="20"/>
          <w:szCs w:val="20"/>
        </w:rPr>
        <w:t xml:space="preserve">In </w:t>
      </w:r>
      <w:r w:rsidR="008C74A4">
        <w:rPr>
          <w:rFonts w:cs="Arial"/>
          <w:sz w:val="20"/>
          <w:szCs w:val="20"/>
        </w:rPr>
        <w:t xml:space="preserve">My </w:t>
      </w:r>
      <w:r w:rsidRPr="000A1AEA">
        <w:rPr>
          <w:rFonts w:cs="Arial"/>
          <w:sz w:val="20"/>
          <w:szCs w:val="20"/>
        </w:rPr>
        <w:t>view, the most useful disclosures are those that explain:</w:t>
      </w:r>
    </w:p>
    <w:p w14:paraId="7A6AA15F"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the nature of the risk being hedged;</w:t>
      </w:r>
    </w:p>
    <w:p w14:paraId="67BDABB3"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the reason the entity undertakes the hedge;</w:t>
      </w:r>
    </w:p>
    <w:p w14:paraId="7270EB55"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the broad extent of the exposure that is hedged;</w:t>
      </w:r>
    </w:p>
    <w:p w14:paraId="71011F00"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the period over which the hedge is expected to affect cash flows;</w:t>
      </w:r>
    </w:p>
    <w:p w14:paraId="530F3E68"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the effect of the hedge on profit or loss, other comprehensive income and reserves;</w:t>
      </w:r>
    </w:p>
    <w:p w14:paraId="0AD9FBEB"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significant hedge ineffectiveness recognised during the period;</w:t>
      </w:r>
    </w:p>
    <w:p w14:paraId="67A21B91"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material changes in the hedging strategy; and</w:t>
      </w:r>
    </w:p>
    <w:p w14:paraId="51088887" w14:textId="77777777" w:rsidR="000A1AEA" w:rsidRPr="000A1AEA" w:rsidRDefault="000A1AEA" w:rsidP="000A1AEA">
      <w:pPr>
        <w:numPr>
          <w:ilvl w:val="0"/>
          <w:numId w:val="18"/>
        </w:numPr>
        <w:spacing w:after="0" w:line="240" w:lineRule="auto"/>
        <w:jc w:val="both"/>
        <w:rPr>
          <w:rFonts w:cs="Arial"/>
          <w:sz w:val="20"/>
          <w:szCs w:val="20"/>
        </w:rPr>
      </w:pPr>
      <w:r w:rsidRPr="000A1AEA">
        <w:rPr>
          <w:rFonts w:cs="Arial"/>
          <w:sz w:val="20"/>
          <w:szCs w:val="20"/>
        </w:rPr>
        <w:t>significant discontinuation, rebalancing or non-occurrence of forecast transactions.</w:t>
      </w:r>
    </w:p>
    <w:p w14:paraId="62E7F1AD" w14:textId="77777777" w:rsidR="000A1AEA" w:rsidRDefault="000A1AEA" w:rsidP="000A1AEA">
      <w:pPr>
        <w:spacing w:after="0" w:line="240" w:lineRule="auto"/>
        <w:jc w:val="both"/>
        <w:rPr>
          <w:rFonts w:cs="Arial"/>
          <w:sz w:val="20"/>
          <w:szCs w:val="20"/>
        </w:rPr>
      </w:pPr>
    </w:p>
    <w:p w14:paraId="4F6A90BD" w14:textId="5BE45D9B" w:rsidR="000A1AEA" w:rsidRPr="000A1AEA" w:rsidRDefault="000A1AEA" w:rsidP="000A1AEA">
      <w:pPr>
        <w:spacing w:after="0" w:line="240" w:lineRule="auto"/>
        <w:jc w:val="both"/>
        <w:rPr>
          <w:rFonts w:cs="Arial"/>
          <w:sz w:val="20"/>
          <w:szCs w:val="20"/>
        </w:rPr>
      </w:pPr>
      <w:r w:rsidRPr="000A1AEA">
        <w:rPr>
          <w:rFonts w:cs="Arial"/>
          <w:sz w:val="20"/>
          <w:szCs w:val="20"/>
        </w:rPr>
        <w:t>These disclosures help users connect the risk management strategy with the amounts recognised in the financial statements.</w:t>
      </w:r>
    </w:p>
    <w:p w14:paraId="463F7981" w14:textId="77777777" w:rsidR="000A1AEA" w:rsidRPr="000A1AEA" w:rsidRDefault="000A1AEA" w:rsidP="000A1AEA">
      <w:pPr>
        <w:spacing w:after="0" w:line="240" w:lineRule="auto"/>
        <w:jc w:val="both"/>
        <w:rPr>
          <w:rFonts w:cs="Arial"/>
          <w:sz w:val="20"/>
          <w:szCs w:val="20"/>
        </w:rPr>
      </w:pPr>
      <w:r w:rsidRPr="000A1AEA">
        <w:rPr>
          <w:rFonts w:cs="Arial"/>
          <w:sz w:val="20"/>
          <w:szCs w:val="20"/>
        </w:rPr>
        <w:lastRenderedPageBreak/>
        <w:t>Information about average rates or prices may also be useful, but only when it is accompanied by appropriate context. An average contracted rate presented in isolation may not explain whether the entity has reduced risk effectively or how the rate compares with the relevant exposure or market conditions.</w:t>
      </w:r>
    </w:p>
    <w:p w14:paraId="0C251159" w14:textId="772F690A" w:rsidR="000A1AEA" w:rsidRPr="000A1AEA" w:rsidRDefault="000A1AEA" w:rsidP="000A1AEA">
      <w:pPr>
        <w:spacing w:after="0" w:line="240" w:lineRule="auto"/>
        <w:jc w:val="both"/>
        <w:rPr>
          <w:rFonts w:cs="Arial"/>
          <w:sz w:val="20"/>
          <w:szCs w:val="20"/>
        </w:rPr>
      </w:pPr>
    </w:p>
    <w:p w14:paraId="051741C0"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2. Granularity and Aggregation</w:t>
      </w:r>
    </w:p>
    <w:p w14:paraId="7F7A14F9" w14:textId="77777777" w:rsidR="000A1AEA" w:rsidRDefault="000A1AEA" w:rsidP="000A1AEA">
      <w:pPr>
        <w:spacing w:after="0" w:line="240" w:lineRule="auto"/>
        <w:jc w:val="both"/>
        <w:rPr>
          <w:rFonts w:cs="Arial"/>
          <w:sz w:val="20"/>
          <w:szCs w:val="20"/>
        </w:rPr>
      </w:pPr>
    </w:p>
    <w:p w14:paraId="684221FD" w14:textId="70DD93C0" w:rsidR="000A1AEA" w:rsidRPr="000A1AEA" w:rsidRDefault="000A1AEA" w:rsidP="000A1AEA">
      <w:pPr>
        <w:spacing w:after="0" w:line="240" w:lineRule="auto"/>
        <w:jc w:val="both"/>
        <w:rPr>
          <w:rFonts w:cs="Arial"/>
          <w:sz w:val="20"/>
          <w:szCs w:val="20"/>
        </w:rPr>
      </w:pPr>
      <w:r w:rsidRPr="000A1AEA">
        <w:rPr>
          <w:rFonts w:cs="Arial"/>
          <w:sz w:val="20"/>
          <w:szCs w:val="20"/>
        </w:rPr>
        <w:t>Preparers face difficulty in determining the appropriate level of aggregation. Excessive aggregation may obscure significant differences between hedging strategies, while excessive disaggregation can result in lengthy and difficult-to-read disclosures.</w:t>
      </w:r>
    </w:p>
    <w:p w14:paraId="15FC7F63" w14:textId="77777777" w:rsidR="000A1AEA" w:rsidRDefault="000A1AEA" w:rsidP="000A1AEA">
      <w:pPr>
        <w:spacing w:after="0" w:line="240" w:lineRule="auto"/>
        <w:jc w:val="both"/>
        <w:rPr>
          <w:rFonts w:cs="Arial"/>
          <w:sz w:val="20"/>
          <w:szCs w:val="20"/>
        </w:rPr>
      </w:pPr>
    </w:p>
    <w:p w14:paraId="4C1ECC70" w14:textId="098387C6" w:rsidR="000A1AEA" w:rsidRPr="000A1AEA" w:rsidRDefault="000A1AEA" w:rsidP="000A1AEA">
      <w:pPr>
        <w:spacing w:after="0" w:line="240" w:lineRule="auto"/>
        <w:jc w:val="both"/>
        <w:rPr>
          <w:rFonts w:cs="Arial"/>
          <w:sz w:val="20"/>
          <w:szCs w:val="20"/>
        </w:rPr>
      </w:pPr>
      <w:r w:rsidRPr="000A1AEA">
        <w:rPr>
          <w:rFonts w:cs="Arial"/>
          <w:sz w:val="20"/>
          <w:szCs w:val="20"/>
        </w:rPr>
        <w:t>The appropriate level may differ depending on the nature of the entity and its risk management activities. For example, grouping all foreign exchange hedges together may not be appropriate where the entity separately manages:</w:t>
      </w:r>
    </w:p>
    <w:p w14:paraId="5495C33F" w14:textId="77777777" w:rsidR="000A1AEA" w:rsidRPr="000A1AEA" w:rsidRDefault="000A1AEA" w:rsidP="000A1AEA">
      <w:pPr>
        <w:numPr>
          <w:ilvl w:val="0"/>
          <w:numId w:val="19"/>
        </w:numPr>
        <w:spacing w:after="0" w:line="240" w:lineRule="auto"/>
        <w:jc w:val="both"/>
        <w:rPr>
          <w:rFonts w:cs="Arial"/>
          <w:sz w:val="20"/>
          <w:szCs w:val="20"/>
        </w:rPr>
      </w:pPr>
      <w:r w:rsidRPr="000A1AEA">
        <w:rPr>
          <w:rFonts w:cs="Arial"/>
          <w:sz w:val="20"/>
          <w:szCs w:val="20"/>
        </w:rPr>
        <w:t>forecast imports;</w:t>
      </w:r>
    </w:p>
    <w:p w14:paraId="10702A92" w14:textId="77777777" w:rsidR="000A1AEA" w:rsidRPr="000A1AEA" w:rsidRDefault="000A1AEA" w:rsidP="000A1AEA">
      <w:pPr>
        <w:numPr>
          <w:ilvl w:val="0"/>
          <w:numId w:val="19"/>
        </w:numPr>
        <w:spacing w:after="0" w:line="240" w:lineRule="auto"/>
        <w:jc w:val="both"/>
        <w:rPr>
          <w:rFonts w:cs="Arial"/>
          <w:sz w:val="20"/>
          <w:szCs w:val="20"/>
        </w:rPr>
      </w:pPr>
      <w:r w:rsidRPr="000A1AEA">
        <w:rPr>
          <w:rFonts w:cs="Arial"/>
          <w:sz w:val="20"/>
          <w:szCs w:val="20"/>
        </w:rPr>
        <w:t>forecast exports;</w:t>
      </w:r>
    </w:p>
    <w:p w14:paraId="3A1DDEFB" w14:textId="77777777" w:rsidR="000A1AEA" w:rsidRPr="000A1AEA" w:rsidRDefault="000A1AEA" w:rsidP="000A1AEA">
      <w:pPr>
        <w:numPr>
          <w:ilvl w:val="0"/>
          <w:numId w:val="19"/>
        </w:numPr>
        <w:spacing w:after="0" w:line="240" w:lineRule="auto"/>
        <w:jc w:val="both"/>
        <w:rPr>
          <w:rFonts w:cs="Arial"/>
          <w:sz w:val="20"/>
          <w:szCs w:val="20"/>
        </w:rPr>
      </w:pPr>
      <w:r w:rsidRPr="000A1AEA">
        <w:rPr>
          <w:rFonts w:cs="Arial"/>
          <w:sz w:val="20"/>
          <w:szCs w:val="20"/>
        </w:rPr>
        <w:t>foreign currency borrowings; and</w:t>
      </w:r>
    </w:p>
    <w:p w14:paraId="27002903" w14:textId="77777777" w:rsidR="000A1AEA" w:rsidRPr="000A1AEA" w:rsidRDefault="000A1AEA" w:rsidP="000A1AEA">
      <w:pPr>
        <w:numPr>
          <w:ilvl w:val="0"/>
          <w:numId w:val="19"/>
        </w:numPr>
        <w:spacing w:after="0" w:line="240" w:lineRule="auto"/>
        <w:jc w:val="both"/>
        <w:rPr>
          <w:rFonts w:cs="Arial"/>
          <w:sz w:val="20"/>
          <w:szCs w:val="20"/>
        </w:rPr>
      </w:pPr>
      <w:r w:rsidRPr="000A1AEA">
        <w:rPr>
          <w:rFonts w:cs="Arial"/>
          <w:sz w:val="20"/>
          <w:szCs w:val="20"/>
        </w:rPr>
        <w:t>net investments in foreign operations.</w:t>
      </w:r>
    </w:p>
    <w:p w14:paraId="7C2EB1EA" w14:textId="77777777" w:rsidR="000A1AEA" w:rsidRDefault="000A1AEA" w:rsidP="000A1AEA">
      <w:pPr>
        <w:spacing w:after="0" w:line="240" w:lineRule="auto"/>
        <w:jc w:val="both"/>
        <w:rPr>
          <w:rFonts w:cs="Arial"/>
          <w:sz w:val="20"/>
          <w:szCs w:val="20"/>
        </w:rPr>
      </w:pPr>
    </w:p>
    <w:p w14:paraId="4C322C29" w14:textId="12AFC53F" w:rsidR="000A1AEA" w:rsidRPr="000A1AEA" w:rsidRDefault="000A1AEA" w:rsidP="000A1AEA">
      <w:pPr>
        <w:spacing w:after="0" w:line="240" w:lineRule="auto"/>
        <w:jc w:val="both"/>
        <w:rPr>
          <w:rFonts w:cs="Arial"/>
          <w:sz w:val="20"/>
          <w:szCs w:val="20"/>
        </w:rPr>
      </w:pPr>
      <w:r w:rsidRPr="000A1AEA">
        <w:rPr>
          <w:rFonts w:cs="Arial"/>
          <w:sz w:val="20"/>
          <w:szCs w:val="20"/>
        </w:rPr>
        <w:t>At the same time, requiring instrument-by-instrument disclosure would rarely be useful.</w:t>
      </w:r>
    </w:p>
    <w:p w14:paraId="232294ED" w14:textId="77777777" w:rsidR="000A1AEA" w:rsidRDefault="000A1AEA" w:rsidP="000A1AEA">
      <w:pPr>
        <w:spacing w:after="0" w:line="240" w:lineRule="auto"/>
        <w:jc w:val="both"/>
        <w:rPr>
          <w:rFonts w:cs="Arial"/>
          <w:b/>
          <w:bCs/>
          <w:sz w:val="20"/>
          <w:szCs w:val="20"/>
        </w:rPr>
      </w:pPr>
    </w:p>
    <w:p w14:paraId="3BD4F317" w14:textId="266C4868"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2EA817A7" w14:textId="77777777" w:rsidR="000A1AEA" w:rsidRDefault="000A1AEA" w:rsidP="000A1AEA">
      <w:pPr>
        <w:spacing w:after="0" w:line="240" w:lineRule="auto"/>
        <w:jc w:val="both"/>
        <w:rPr>
          <w:rFonts w:cs="Arial"/>
          <w:sz w:val="20"/>
          <w:szCs w:val="20"/>
        </w:rPr>
      </w:pPr>
    </w:p>
    <w:p w14:paraId="737E9D28" w14:textId="00B80518" w:rsidR="000A1AEA" w:rsidRPr="000A1AEA" w:rsidRDefault="000A1AEA" w:rsidP="000A1AEA">
      <w:pPr>
        <w:spacing w:after="0" w:line="240" w:lineRule="auto"/>
        <w:jc w:val="both"/>
        <w:rPr>
          <w:rFonts w:cs="Arial"/>
          <w:sz w:val="20"/>
          <w:szCs w:val="20"/>
        </w:rPr>
      </w:pPr>
      <w:r w:rsidRPr="000A1AEA">
        <w:rPr>
          <w:rFonts w:cs="Arial"/>
          <w:sz w:val="20"/>
          <w:szCs w:val="20"/>
        </w:rPr>
        <w:t>The IASB may consider providing principles or examples to help entities determine the appropriate level of aggregation based on:</w:t>
      </w:r>
    </w:p>
    <w:p w14:paraId="5B6005A2" w14:textId="77777777" w:rsidR="000A1AEA" w:rsidRPr="000A1AEA" w:rsidRDefault="000A1AEA" w:rsidP="000A1AEA">
      <w:pPr>
        <w:numPr>
          <w:ilvl w:val="0"/>
          <w:numId w:val="20"/>
        </w:numPr>
        <w:spacing w:after="0" w:line="240" w:lineRule="auto"/>
        <w:jc w:val="both"/>
        <w:rPr>
          <w:rFonts w:cs="Arial"/>
          <w:sz w:val="20"/>
          <w:szCs w:val="20"/>
        </w:rPr>
      </w:pPr>
      <w:r w:rsidRPr="000A1AEA">
        <w:rPr>
          <w:rFonts w:cs="Arial"/>
          <w:sz w:val="20"/>
          <w:szCs w:val="20"/>
        </w:rPr>
        <w:t>the nature of the hedged risk;</w:t>
      </w:r>
    </w:p>
    <w:p w14:paraId="0DC50CAB" w14:textId="77777777" w:rsidR="000A1AEA" w:rsidRPr="000A1AEA" w:rsidRDefault="000A1AEA" w:rsidP="000A1AEA">
      <w:pPr>
        <w:numPr>
          <w:ilvl w:val="0"/>
          <w:numId w:val="20"/>
        </w:numPr>
        <w:spacing w:after="0" w:line="240" w:lineRule="auto"/>
        <w:jc w:val="both"/>
        <w:rPr>
          <w:rFonts w:cs="Arial"/>
          <w:sz w:val="20"/>
          <w:szCs w:val="20"/>
        </w:rPr>
      </w:pPr>
      <w:r w:rsidRPr="000A1AEA">
        <w:rPr>
          <w:rFonts w:cs="Arial"/>
          <w:sz w:val="20"/>
          <w:szCs w:val="20"/>
        </w:rPr>
        <w:t>the purpose of the hedging strategy;</w:t>
      </w:r>
    </w:p>
    <w:p w14:paraId="5B83B66A" w14:textId="77777777" w:rsidR="000A1AEA" w:rsidRPr="000A1AEA" w:rsidRDefault="000A1AEA" w:rsidP="000A1AEA">
      <w:pPr>
        <w:numPr>
          <w:ilvl w:val="0"/>
          <w:numId w:val="20"/>
        </w:numPr>
        <w:spacing w:after="0" w:line="240" w:lineRule="auto"/>
        <w:jc w:val="both"/>
        <w:rPr>
          <w:rFonts w:cs="Arial"/>
          <w:sz w:val="20"/>
          <w:szCs w:val="20"/>
        </w:rPr>
      </w:pPr>
      <w:r w:rsidRPr="000A1AEA">
        <w:rPr>
          <w:rFonts w:cs="Arial"/>
          <w:sz w:val="20"/>
          <w:szCs w:val="20"/>
        </w:rPr>
        <w:t>the type of hedged item;</w:t>
      </w:r>
    </w:p>
    <w:p w14:paraId="66F9E67C" w14:textId="77777777" w:rsidR="000A1AEA" w:rsidRPr="000A1AEA" w:rsidRDefault="000A1AEA" w:rsidP="000A1AEA">
      <w:pPr>
        <w:numPr>
          <w:ilvl w:val="0"/>
          <w:numId w:val="20"/>
        </w:numPr>
        <w:spacing w:after="0" w:line="240" w:lineRule="auto"/>
        <w:jc w:val="both"/>
        <w:rPr>
          <w:rFonts w:cs="Arial"/>
          <w:sz w:val="20"/>
          <w:szCs w:val="20"/>
        </w:rPr>
      </w:pPr>
      <w:r w:rsidRPr="000A1AEA">
        <w:rPr>
          <w:rFonts w:cs="Arial"/>
          <w:sz w:val="20"/>
          <w:szCs w:val="20"/>
        </w:rPr>
        <w:t xml:space="preserve">the </w:t>
      </w:r>
      <w:proofErr w:type="gramStart"/>
      <w:r w:rsidRPr="000A1AEA">
        <w:rPr>
          <w:rFonts w:cs="Arial"/>
          <w:sz w:val="20"/>
          <w:szCs w:val="20"/>
        </w:rPr>
        <w:t>manner in which</w:t>
      </w:r>
      <w:proofErr w:type="gramEnd"/>
      <w:r w:rsidRPr="000A1AEA">
        <w:rPr>
          <w:rFonts w:cs="Arial"/>
          <w:sz w:val="20"/>
          <w:szCs w:val="20"/>
        </w:rPr>
        <w:t xml:space="preserve"> management monitors the exposure; and</w:t>
      </w:r>
    </w:p>
    <w:p w14:paraId="1C0C050E" w14:textId="77777777" w:rsidR="000A1AEA" w:rsidRPr="000A1AEA" w:rsidRDefault="000A1AEA" w:rsidP="000A1AEA">
      <w:pPr>
        <w:numPr>
          <w:ilvl w:val="0"/>
          <w:numId w:val="20"/>
        </w:numPr>
        <w:spacing w:after="0" w:line="240" w:lineRule="auto"/>
        <w:jc w:val="both"/>
        <w:rPr>
          <w:rFonts w:cs="Arial"/>
          <w:sz w:val="20"/>
          <w:szCs w:val="20"/>
        </w:rPr>
      </w:pPr>
      <w:r w:rsidRPr="000A1AEA">
        <w:rPr>
          <w:rFonts w:cs="Arial"/>
          <w:sz w:val="20"/>
          <w:szCs w:val="20"/>
        </w:rPr>
        <w:t>material differences in maturity or expected effect on cash flows.</w:t>
      </w:r>
    </w:p>
    <w:p w14:paraId="142AB40B" w14:textId="01A02269" w:rsidR="000A1AEA" w:rsidRPr="000A1AEA" w:rsidRDefault="000A1AEA" w:rsidP="000A1AEA">
      <w:pPr>
        <w:spacing w:after="0" w:line="240" w:lineRule="auto"/>
        <w:jc w:val="both"/>
        <w:rPr>
          <w:rFonts w:cs="Arial"/>
          <w:sz w:val="20"/>
          <w:szCs w:val="20"/>
        </w:rPr>
      </w:pPr>
    </w:p>
    <w:p w14:paraId="4549C830"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3. Boilerplate and Duplicative Information</w:t>
      </w:r>
    </w:p>
    <w:p w14:paraId="0C24EABA" w14:textId="77777777" w:rsidR="000A1AEA" w:rsidRDefault="000A1AEA" w:rsidP="000A1AEA">
      <w:pPr>
        <w:spacing w:after="0" w:line="240" w:lineRule="auto"/>
        <w:jc w:val="both"/>
        <w:rPr>
          <w:rFonts w:cs="Arial"/>
          <w:sz w:val="20"/>
          <w:szCs w:val="20"/>
        </w:rPr>
      </w:pPr>
    </w:p>
    <w:p w14:paraId="3A91AA23" w14:textId="7754D2B9" w:rsidR="000A1AEA" w:rsidRPr="000A1AEA" w:rsidRDefault="000A1AEA" w:rsidP="000A1AEA">
      <w:pPr>
        <w:spacing w:after="0" w:line="240" w:lineRule="auto"/>
        <w:jc w:val="both"/>
        <w:rPr>
          <w:rFonts w:cs="Arial"/>
          <w:sz w:val="20"/>
          <w:szCs w:val="20"/>
        </w:rPr>
      </w:pPr>
      <w:r w:rsidRPr="000A1AEA">
        <w:rPr>
          <w:rFonts w:cs="Arial"/>
          <w:sz w:val="20"/>
          <w:szCs w:val="20"/>
        </w:rPr>
        <w:t>Certain hedge accounting disclosures repeat information already included in:</w:t>
      </w:r>
    </w:p>
    <w:p w14:paraId="0138CC3F" w14:textId="77777777" w:rsidR="000A1AEA" w:rsidRPr="000A1AEA" w:rsidRDefault="000A1AEA" w:rsidP="000A1AEA">
      <w:pPr>
        <w:numPr>
          <w:ilvl w:val="0"/>
          <w:numId w:val="21"/>
        </w:numPr>
        <w:spacing w:after="0" w:line="240" w:lineRule="auto"/>
        <w:jc w:val="both"/>
        <w:rPr>
          <w:rFonts w:cs="Arial"/>
          <w:sz w:val="20"/>
          <w:szCs w:val="20"/>
        </w:rPr>
      </w:pPr>
      <w:r w:rsidRPr="000A1AEA">
        <w:rPr>
          <w:rFonts w:cs="Arial"/>
          <w:sz w:val="20"/>
          <w:szCs w:val="20"/>
        </w:rPr>
        <w:t>the financial risk management note;</w:t>
      </w:r>
    </w:p>
    <w:p w14:paraId="7B0043F5" w14:textId="77777777" w:rsidR="000A1AEA" w:rsidRPr="000A1AEA" w:rsidRDefault="000A1AEA" w:rsidP="000A1AEA">
      <w:pPr>
        <w:numPr>
          <w:ilvl w:val="0"/>
          <w:numId w:val="21"/>
        </w:numPr>
        <w:spacing w:after="0" w:line="240" w:lineRule="auto"/>
        <w:jc w:val="both"/>
        <w:rPr>
          <w:rFonts w:cs="Arial"/>
          <w:sz w:val="20"/>
          <w:szCs w:val="20"/>
        </w:rPr>
      </w:pPr>
      <w:r w:rsidRPr="000A1AEA">
        <w:rPr>
          <w:rFonts w:cs="Arial"/>
          <w:sz w:val="20"/>
          <w:szCs w:val="20"/>
        </w:rPr>
        <w:t>accounting policies;</w:t>
      </w:r>
    </w:p>
    <w:p w14:paraId="543BFB40" w14:textId="77777777" w:rsidR="000A1AEA" w:rsidRPr="000A1AEA" w:rsidRDefault="000A1AEA" w:rsidP="000A1AEA">
      <w:pPr>
        <w:numPr>
          <w:ilvl w:val="0"/>
          <w:numId w:val="21"/>
        </w:numPr>
        <w:spacing w:after="0" w:line="240" w:lineRule="auto"/>
        <w:jc w:val="both"/>
        <w:rPr>
          <w:rFonts w:cs="Arial"/>
          <w:sz w:val="20"/>
          <w:szCs w:val="20"/>
        </w:rPr>
      </w:pPr>
      <w:r w:rsidRPr="000A1AEA">
        <w:rPr>
          <w:rFonts w:cs="Arial"/>
          <w:sz w:val="20"/>
          <w:szCs w:val="20"/>
        </w:rPr>
        <w:t>fair value disclosures;</w:t>
      </w:r>
    </w:p>
    <w:p w14:paraId="1C22A530" w14:textId="77777777" w:rsidR="000A1AEA" w:rsidRPr="000A1AEA" w:rsidRDefault="000A1AEA" w:rsidP="000A1AEA">
      <w:pPr>
        <w:numPr>
          <w:ilvl w:val="0"/>
          <w:numId w:val="21"/>
        </w:numPr>
        <w:spacing w:after="0" w:line="240" w:lineRule="auto"/>
        <w:jc w:val="both"/>
        <w:rPr>
          <w:rFonts w:cs="Arial"/>
          <w:sz w:val="20"/>
          <w:szCs w:val="20"/>
        </w:rPr>
      </w:pPr>
      <w:r w:rsidRPr="000A1AEA">
        <w:rPr>
          <w:rFonts w:cs="Arial"/>
          <w:sz w:val="20"/>
          <w:szCs w:val="20"/>
        </w:rPr>
        <w:t>derivative disclosures; and</w:t>
      </w:r>
    </w:p>
    <w:p w14:paraId="7827DB3B" w14:textId="77777777" w:rsidR="000A1AEA" w:rsidRPr="000A1AEA" w:rsidRDefault="000A1AEA" w:rsidP="000A1AEA">
      <w:pPr>
        <w:numPr>
          <w:ilvl w:val="0"/>
          <w:numId w:val="21"/>
        </w:numPr>
        <w:spacing w:after="0" w:line="240" w:lineRule="auto"/>
        <w:jc w:val="both"/>
        <w:rPr>
          <w:rFonts w:cs="Arial"/>
          <w:sz w:val="20"/>
          <w:szCs w:val="20"/>
        </w:rPr>
      </w:pPr>
      <w:r w:rsidRPr="000A1AEA">
        <w:rPr>
          <w:rFonts w:cs="Arial"/>
          <w:sz w:val="20"/>
          <w:szCs w:val="20"/>
        </w:rPr>
        <w:t>other comprehensive income and equity reconciliation notes.</w:t>
      </w:r>
    </w:p>
    <w:p w14:paraId="5CDA905C" w14:textId="77777777" w:rsidR="000A1AEA" w:rsidRDefault="000A1AEA" w:rsidP="000A1AEA">
      <w:pPr>
        <w:spacing w:after="0" w:line="240" w:lineRule="auto"/>
        <w:jc w:val="both"/>
        <w:rPr>
          <w:rFonts w:cs="Arial"/>
          <w:sz w:val="20"/>
          <w:szCs w:val="20"/>
        </w:rPr>
      </w:pPr>
    </w:p>
    <w:p w14:paraId="2C125A80" w14:textId="7F4D8B01" w:rsidR="000A1AEA" w:rsidRPr="000A1AEA" w:rsidRDefault="000A1AEA" w:rsidP="000A1AEA">
      <w:pPr>
        <w:spacing w:after="0" w:line="240" w:lineRule="auto"/>
        <w:jc w:val="both"/>
        <w:rPr>
          <w:rFonts w:cs="Arial"/>
          <w:sz w:val="20"/>
          <w:szCs w:val="20"/>
        </w:rPr>
      </w:pPr>
      <w:r w:rsidRPr="000A1AEA">
        <w:rPr>
          <w:rFonts w:cs="Arial"/>
          <w:sz w:val="20"/>
          <w:szCs w:val="20"/>
        </w:rPr>
        <w:t>This repetition increases the length of the financial statements without necessarily improving their usefulness.</w:t>
      </w:r>
    </w:p>
    <w:p w14:paraId="1E1489AB" w14:textId="77777777" w:rsidR="000A1AEA" w:rsidRDefault="000A1AEA" w:rsidP="000A1AEA">
      <w:pPr>
        <w:spacing w:after="0" w:line="240" w:lineRule="auto"/>
        <w:jc w:val="both"/>
        <w:rPr>
          <w:rFonts w:cs="Arial"/>
          <w:b/>
          <w:bCs/>
          <w:sz w:val="20"/>
          <w:szCs w:val="20"/>
        </w:rPr>
      </w:pPr>
    </w:p>
    <w:p w14:paraId="5726A1E9" w14:textId="47E101F2"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2644BBA7" w14:textId="77777777" w:rsidR="000A1AEA" w:rsidRDefault="000A1AEA" w:rsidP="000A1AEA">
      <w:pPr>
        <w:spacing w:after="0" w:line="240" w:lineRule="auto"/>
        <w:jc w:val="both"/>
        <w:rPr>
          <w:rFonts w:cs="Arial"/>
          <w:sz w:val="20"/>
          <w:szCs w:val="20"/>
        </w:rPr>
      </w:pPr>
    </w:p>
    <w:p w14:paraId="001E5771" w14:textId="14F2160D" w:rsidR="000A1AEA" w:rsidRPr="000A1AEA" w:rsidRDefault="000A1AEA" w:rsidP="000A1AEA">
      <w:pPr>
        <w:spacing w:after="0" w:line="240" w:lineRule="auto"/>
        <w:jc w:val="both"/>
        <w:rPr>
          <w:rFonts w:cs="Arial"/>
          <w:sz w:val="20"/>
          <w:szCs w:val="20"/>
        </w:rPr>
      </w:pPr>
      <w:r w:rsidRPr="000A1AEA">
        <w:rPr>
          <w:rFonts w:cs="Arial"/>
          <w:sz w:val="20"/>
          <w:szCs w:val="20"/>
        </w:rPr>
        <w:t>The IASB should continue to permit cross-referencing where the information is presented elsewhere in the financial statements in a clear and accessible manner.</w:t>
      </w:r>
    </w:p>
    <w:p w14:paraId="641797B1" w14:textId="77777777" w:rsidR="000A1AEA" w:rsidRDefault="000A1AEA" w:rsidP="000A1AEA">
      <w:pPr>
        <w:spacing w:after="0" w:line="240" w:lineRule="auto"/>
        <w:jc w:val="both"/>
        <w:rPr>
          <w:rFonts w:cs="Arial"/>
          <w:sz w:val="20"/>
          <w:szCs w:val="20"/>
        </w:rPr>
      </w:pPr>
    </w:p>
    <w:p w14:paraId="270D3DD4" w14:textId="35DFC1B9" w:rsidR="000A1AEA" w:rsidRPr="000A1AEA" w:rsidRDefault="000A1AEA" w:rsidP="000A1AEA">
      <w:pPr>
        <w:spacing w:after="0" w:line="240" w:lineRule="auto"/>
        <w:jc w:val="both"/>
        <w:rPr>
          <w:rFonts w:cs="Arial"/>
          <w:sz w:val="20"/>
          <w:szCs w:val="20"/>
        </w:rPr>
      </w:pPr>
      <w:r w:rsidRPr="000A1AEA">
        <w:rPr>
          <w:rFonts w:cs="Arial"/>
          <w:sz w:val="20"/>
          <w:szCs w:val="20"/>
        </w:rPr>
        <w:t>The disclosure objective should be emphasised over a checklist-based approach. Entities should be encouraged to remove generic wording that does not explain their actual hedging activities.</w:t>
      </w:r>
    </w:p>
    <w:p w14:paraId="4209B533" w14:textId="7823580F" w:rsidR="000A1AEA" w:rsidRPr="000A1AEA" w:rsidRDefault="000A1AEA" w:rsidP="000A1AEA">
      <w:pPr>
        <w:spacing w:after="0" w:line="240" w:lineRule="auto"/>
        <w:jc w:val="both"/>
        <w:rPr>
          <w:rFonts w:cs="Arial"/>
          <w:sz w:val="20"/>
          <w:szCs w:val="20"/>
        </w:rPr>
      </w:pPr>
    </w:p>
    <w:p w14:paraId="09793CD3"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4. Cost of Preparing and Auditing the Disclosures</w:t>
      </w:r>
    </w:p>
    <w:p w14:paraId="462F39EF" w14:textId="77777777" w:rsidR="000A1AEA" w:rsidRDefault="000A1AEA" w:rsidP="000A1AEA">
      <w:pPr>
        <w:spacing w:after="0" w:line="240" w:lineRule="auto"/>
        <w:jc w:val="both"/>
        <w:rPr>
          <w:rFonts w:cs="Arial"/>
          <w:sz w:val="20"/>
          <w:szCs w:val="20"/>
        </w:rPr>
      </w:pPr>
    </w:p>
    <w:p w14:paraId="0B1F0F39" w14:textId="7EF633D4" w:rsidR="000A1AEA" w:rsidRDefault="000A1AEA" w:rsidP="000A1AEA">
      <w:pPr>
        <w:spacing w:after="0" w:line="240" w:lineRule="auto"/>
        <w:jc w:val="both"/>
        <w:rPr>
          <w:rFonts w:cs="Arial"/>
          <w:sz w:val="20"/>
          <w:szCs w:val="20"/>
        </w:rPr>
      </w:pPr>
      <w:r w:rsidRPr="000A1AEA">
        <w:rPr>
          <w:rFonts w:cs="Arial"/>
          <w:sz w:val="20"/>
          <w:szCs w:val="20"/>
        </w:rPr>
        <w:t>Certain IFRS 7 disclosures require data that may not be directly available from the general ledger or treasury system. Information may need to be compiled from derivative valuations, hedge documentation, reserve reconciliations and underlying exposure records.</w:t>
      </w:r>
    </w:p>
    <w:p w14:paraId="68736572" w14:textId="77777777" w:rsidR="000A1AEA" w:rsidRPr="000A1AEA" w:rsidRDefault="000A1AEA" w:rsidP="000A1AEA">
      <w:pPr>
        <w:spacing w:after="0" w:line="240" w:lineRule="auto"/>
        <w:jc w:val="both"/>
        <w:rPr>
          <w:rFonts w:cs="Arial"/>
          <w:sz w:val="20"/>
          <w:szCs w:val="20"/>
        </w:rPr>
      </w:pPr>
    </w:p>
    <w:p w14:paraId="4197A365" w14:textId="77777777" w:rsidR="000A1AEA" w:rsidRPr="000A1AEA" w:rsidRDefault="000A1AEA" w:rsidP="000A1AEA">
      <w:pPr>
        <w:spacing w:after="0" w:line="240" w:lineRule="auto"/>
        <w:jc w:val="both"/>
        <w:rPr>
          <w:rFonts w:cs="Arial"/>
          <w:sz w:val="20"/>
          <w:szCs w:val="20"/>
        </w:rPr>
      </w:pPr>
      <w:r w:rsidRPr="000A1AEA">
        <w:rPr>
          <w:rFonts w:cs="Arial"/>
          <w:sz w:val="20"/>
          <w:szCs w:val="20"/>
        </w:rPr>
        <w:t>The cost is particularly significant where:</w:t>
      </w:r>
    </w:p>
    <w:p w14:paraId="7164418A" w14:textId="77777777" w:rsidR="000A1AEA" w:rsidRPr="000A1AEA" w:rsidRDefault="000A1AEA" w:rsidP="000A1AEA">
      <w:pPr>
        <w:numPr>
          <w:ilvl w:val="0"/>
          <w:numId w:val="22"/>
        </w:numPr>
        <w:spacing w:after="0" w:line="240" w:lineRule="auto"/>
        <w:jc w:val="both"/>
        <w:rPr>
          <w:rFonts w:cs="Arial"/>
          <w:sz w:val="20"/>
          <w:szCs w:val="20"/>
        </w:rPr>
      </w:pPr>
      <w:r w:rsidRPr="000A1AEA">
        <w:rPr>
          <w:rFonts w:cs="Arial"/>
          <w:sz w:val="20"/>
          <w:szCs w:val="20"/>
        </w:rPr>
        <w:t>accounting and treasury systems are not integrated;</w:t>
      </w:r>
    </w:p>
    <w:p w14:paraId="2E3341E5" w14:textId="77777777" w:rsidR="000A1AEA" w:rsidRPr="000A1AEA" w:rsidRDefault="000A1AEA" w:rsidP="000A1AEA">
      <w:pPr>
        <w:numPr>
          <w:ilvl w:val="0"/>
          <w:numId w:val="22"/>
        </w:numPr>
        <w:spacing w:after="0" w:line="240" w:lineRule="auto"/>
        <w:jc w:val="both"/>
        <w:rPr>
          <w:rFonts w:cs="Arial"/>
          <w:sz w:val="20"/>
          <w:szCs w:val="20"/>
        </w:rPr>
      </w:pPr>
      <w:r w:rsidRPr="000A1AEA">
        <w:rPr>
          <w:rFonts w:cs="Arial"/>
          <w:sz w:val="20"/>
          <w:szCs w:val="20"/>
        </w:rPr>
        <w:t>data are maintained through spreadsheets;</w:t>
      </w:r>
    </w:p>
    <w:p w14:paraId="7F73C448" w14:textId="77777777" w:rsidR="000A1AEA" w:rsidRPr="000A1AEA" w:rsidRDefault="000A1AEA" w:rsidP="000A1AEA">
      <w:pPr>
        <w:numPr>
          <w:ilvl w:val="0"/>
          <w:numId w:val="22"/>
        </w:numPr>
        <w:spacing w:after="0" w:line="240" w:lineRule="auto"/>
        <w:jc w:val="both"/>
        <w:rPr>
          <w:rFonts w:cs="Arial"/>
          <w:sz w:val="20"/>
          <w:szCs w:val="20"/>
        </w:rPr>
      </w:pPr>
      <w:r w:rsidRPr="000A1AEA">
        <w:rPr>
          <w:rFonts w:cs="Arial"/>
          <w:sz w:val="20"/>
          <w:szCs w:val="20"/>
        </w:rPr>
        <w:t>hedges are administered centrally but underlying transactions are recorded by multiple business units;</w:t>
      </w:r>
    </w:p>
    <w:p w14:paraId="173DF30C" w14:textId="77777777" w:rsidR="000A1AEA" w:rsidRPr="000A1AEA" w:rsidRDefault="000A1AEA" w:rsidP="000A1AEA">
      <w:pPr>
        <w:numPr>
          <w:ilvl w:val="0"/>
          <w:numId w:val="22"/>
        </w:numPr>
        <w:spacing w:after="0" w:line="240" w:lineRule="auto"/>
        <w:jc w:val="both"/>
        <w:rPr>
          <w:rFonts w:cs="Arial"/>
          <w:sz w:val="20"/>
          <w:szCs w:val="20"/>
        </w:rPr>
      </w:pPr>
      <w:r w:rsidRPr="000A1AEA">
        <w:rPr>
          <w:rFonts w:cs="Arial"/>
          <w:sz w:val="20"/>
          <w:szCs w:val="20"/>
        </w:rPr>
        <w:t>amounts are required to be allocated between continuing and discontinued hedge relationships; or</w:t>
      </w:r>
    </w:p>
    <w:p w14:paraId="3EA1D49F" w14:textId="77777777" w:rsidR="000A1AEA" w:rsidRPr="000A1AEA" w:rsidRDefault="000A1AEA" w:rsidP="000A1AEA">
      <w:pPr>
        <w:numPr>
          <w:ilvl w:val="0"/>
          <w:numId w:val="22"/>
        </w:numPr>
        <w:spacing w:after="0" w:line="240" w:lineRule="auto"/>
        <w:jc w:val="both"/>
        <w:rPr>
          <w:rFonts w:cs="Arial"/>
          <w:sz w:val="20"/>
          <w:szCs w:val="20"/>
        </w:rPr>
      </w:pPr>
      <w:r w:rsidRPr="000A1AEA">
        <w:rPr>
          <w:rFonts w:cs="Arial"/>
          <w:sz w:val="20"/>
          <w:szCs w:val="20"/>
        </w:rPr>
        <w:lastRenderedPageBreak/>
        <w:t xml:space="preserve">reporting classifications differ from the </w:t>
      </w:r>
      <w:proofErr w:type="gramStart"/>
      <w:r w:rsidRPr="000A1AEA">
        <w:rPr>
          <w:rFonts w:cs="Arial"/>
          <w:sz w:val="20"/>
          <w:szCs w:val="20"/>
        </w:rPr>
        <w:t>manner in which</w:t>
      </w:r>
      <w:proofErr w:type="gramEnd"/>
      <w:r w:rsidRPr="000A1AEA">
        <w:rPr>
          <w:rFonts w:cs="Arial"/>
          <w:sz w:val="20"/>
          <w:szCs w:val="20"/>
        </w:rPr>
        <w:t xml:space="preserve"> treasury monitors the risk.</w:t>
      </w:r>
    </w:p>
    <w:p w14:paraId="77F47441" w14:textId="77777777" w:rsidR="000A1AEA" w:rsidRDefault="000A1AEA" w:rsidP="000A1AEA">
      <w:pPr>
        <w:spacing w:after="0" w:line="240" w:lineRule="auto"/>
        <w:jc w:val="both"/>
        <w:rPr>
          <w:rFonts w:cs="Arial"/>
          <w:sz w:val="20"/>
          <w:szCs w:val="20"/>
        </w:rPr>
      </w:pPr>
    </w:p>
    <w:p w14:paraId="6166B99E" w14:textId="2E07AFEA" w:rsidR="000A1AEA" w:rsidRPr="000A1AEA" w:rsidRDefault="000A1AEA" w:rsidP="000A1AEA">
      <w:pPr>
        <w:spacing w:after="0" w:line="240" w:lineRule="auto"/>
        <w:jc w:val="both"/>
        <w:rPr>
          <w:rFonts w:cs="Arial"/>
          <w:sz w:val="20"/>
          <w:szCs w:val="20"/>
        </w:rPr>
      </w:pPr>
      <w:r w:rsidRPr="000A1AEA">
        <w:rPr>
          <w:rFonts w:cs="Arial"/>
          <w:sz w:val="20"/>
          <w:szCs w:val="20"/>
        </w:rPr>
        <w:t>The audit effort is also significant because the disclosed information must be reconciled with derivative confirmations, valuation reports, hedge documentation, other comprehensive income, equity reserves and the underlying hedged exposures.</w:t>
      </w:r>
    </w:p>
    <w:p w14:paraId="04669F67" w14:textId="77777777" w:rsidR="000A1AEA" w:rsidRDefault="000A1AEA" w:rsidP="000A1AEA">
      <w:pPr>
        <w:spacing w:after="0" w:line="240" w:lineRule="auto"/>
        <w:jc w:val="both"/>
        <w:rPr>
          <w:rFonts w:cs="Arial"/>
          <w:b/>
          <w:bCs/>
          <w:sz w:val="20"/>
          <w:szCs w:val="20"/>
        </w:rPr>
      </w:pPr>
    </w:p>
    <w:p w14:paraId="3CEBC4C8" w14:textId="781CD00E" w:rsidR="000A1AEA" w:rsidRPr="000A1AEA" w:rsidRDefault="000A1AEA" w:rsidP="000A1AEA">
      <w:pPr>
        <w:spacing w:after="0" w:line="240" w:lineRule="auto"/>
        <w:jc w:val="both"/>
        <w:rPr>
          <w:rFonts w:cs="Arial"/>
          <w:b/>
          <w:bCs/>
          <w:sz w:val="20"/>
          <w:szCs w:val="20"/>
        </w:rPr>
      </w:pPr>
      <w:r w:rsidRPr="000A1AEA">
        <w:rPr>
          <w:rFonts w:cs="Arial"/>
          <w:b/>
          <w:bCs/>
          <w:sz w:val="20"/>
          <w:szCs w:val="20"/>
        </w:rPr>
        <w:t>Suggested approach</w:t>
      </w:r>
    </w:p>
    <w:p w14:paraId="79556046" w14:textId="77777777" w:rsidR="000A1AEA" w:rsidRDefault="000A1AEA" w:rsidP="000A1AEA">
      <w:pPr>
        <w:spacing w:after="0" w:line="240" w:lineRule="auto"/>
        <w:jc w:val="both"/>
        <w:rPr>
          <w:rFonts w:cs="Arial"/>
          <w:sz w:val="20"/>
          <w:szCs w:val="20"/>
        </w:rPr>
      </w:pPr>
    </w:p>
    <w:p w14:paraId="3BE8F317" w14:textId="6FFDDEB3" w:rsidR="000A1AEA" w:rsidRPr="000A1AEA" w:rsidRDefault="000A1AEA" w:rsidP="000A1AEA">
      <w:pPr>
        <w:spacing w:after="0" w:line="240" w:lineRule="auto"/>
        <w:jc w:val="both"/>
        <w:rPr>
          <w:rFonts w:cs="Arial"/>
          <w:sz w:val="20"/>
          <w:szCs w:val="20"/>
        </w:rPr>
      </w:pPr>
      <w:r w:rsidRPr="000A1AEA">
        <w:rPr>
          <w:rFonts w:cs="Arial"/>
          <w:sz w:val="20"/>
          <w:szCs w:val="20"/>
        </w:rPr>
        <w:t>The IASB may consider whether all existing quantitative requirements remain necessary in all circumstances. A clearer materiality filter and limited practical relief for immaterial categories could reduce the cost without materially affecting user understanding.</w:t>
      </w:r>
    </w:p>
    <w:p w14:paraId="72C2894D" w14:textId="5B5B6952" w:rsidR="000A1AEA" w:rsidRPr="000A1AEA" w:rsidRDefault="000A1AEA" w:rsidP="000A1AEA">
      <w:pPr>
        <w:spacing w:after="0" w:line="240" w:lineRule="auto"/>
        <w:jc w:val="both"/>
        <w:rPr>
          <w:rFonts w:cs="Arial"/>
          <w:sz w:val="20"/>
          <w:szCs w:val="20"/>
        </w:rPr>
      </w:pPr>
    </w:p>
    <w:p w14:paraId="2C1A47E9"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5. Hedge Ineffectiveness</w:t>
      </w:r>
    </w:p>
    <w:p w14:paraId="3D7B11E2" w14:textId="77777777" w:rsidR="000A1AEA" w:rsidRDefault="000A1AEA" w:rsidP="000A1AEA">
      <w:pPr>
        <w:spacing w:after="0" w:line="240" w:lineRule="auto"/>
        <w:jc w:val="both"/>
        <w:rPr>
          <w:rFonts w:cs="Arial"/>
          <w:sz w:val="20"/>
          <w:szCs w:val="20"/>
        </w:rPr>
      </w:pPr>
    </w:p>
    <w:p w14:paraId="07456FB8" w14:textId="5CE44D6C" w:rsidR="000A1AEA" w:rsidRDefault="000A1AEA" w:rsidP="000A1AEA">
      <w:pPr>
        <w:spacing w:after="0" w:line="240" w:lineRule="auto"/>
        <w:jc w:val="both"/>
        <w:rPr>
          <w:rFonts w:cs="Arial"/>
          <w:sz w:val="20"/>
          <w:szCs w:val="20"/>
        </w:rPr>
      </w:pPr>
      <w:r w:rsidRPr="000A1AEA">
        <w:rPr>
          <w:rFonts w:cs="Arial"/>
          <w:sz w:val="20"/>
          <w:szCs w:val="20"/>
        </w:rPr>
        <w:t>Hedge ineffectiveness is decision-useful when it is significant and is explained in the context of the relevant hedge relationship. However, presentation of a single aggregate amount may not explain what caused the ineffectiveness or which risk management strategy it relates to.</w:t>
      </w:r>
    </w:p>
    <w:p w14:paraId="3B277BB9" w14:textId="77777777" w:rsidR="000A1AEA" w:rsidRPr="000A1AEA" w:rsidRDefault="000A1AEA" w:rsidP="000A1AEA">
      <w:pPr>
        <w:spacing w:after="0" w:line="240" w:lineRule="auto"/>
        <w:jc w:val="both"/>
        <w:rPr>
          <w:rFonts w:cs="Arial"/>
          <w:sz w:val="20"/>
          <w:szCs w:val="20"/>
        </w:rPr>
      </w:pPr>
    </w:p>
    <w:p w14:paraId="0DDB908E" w14:textId="77777777" w:rsidR="000A1AEA" w:rsidRDefault="000A1AEA" w:rsidP="000A1AEA">
      <w:pPr>
        <w:spacing w:after="0" w:line="240" w:lineRule="auto"/>
        <w:jc w:val="both"/>
        <w:rPr>
          <w:rFonts w:cs="Arial"/>
          <w:sz w:val="20"/>
          <w:szCs w:val="20"/>
        </w:rPr>
      </w:pPr>
      <w:r w:rsidRPr="000A1AEA">
        <w:rPr>
          <w:rFonts w:cs="Arial"/>
          <w:sz w:val="20"/>
          <w:szCs w:val="20"/>
        </w:rPr>
        <w:t>Conversely, excessive disaggregation may not be helpful where the amounts are immaterial.</w:t>
      </w:r>
    </w:p>
    <w:p w14:paraId="5A082811" w14:textId="77777777" w:rsidR="000A1AEA" w:rsidRPr="000A1AEA" w:rsidRDefault="000A1AEA" w:rsidP="000A1AEA">
      <w:pPr>
        <w:spacing w:after="0" w:line="240" w:lineRule="auto"/>
        <w:jc w:val="both"/>
        <w:rPr>
          <w:rFonts w:cs="Arial"/>
          <w:sz w:val="20"/>
          <w:szCs w:val="20"/>
        </w:rPr>
      </w:pPr>
    </w:p>
    <w:p w14:paraId="3B455F98" w14:textId="77777777" w:rsidR="000A1AEA" w:rsidRPr="000A1AEA" w:rsidRDefault="000A1AEA" w:rsidP="000A1AEA">
      <w:pPr>
        <w:spacing w:after="0" w:line="240" w:lineRule="auto"/>
        <w:jc w:val="both"/>
        <w:rPr>
          <w:rFonts w:cs="Arial"/>
          <w:sz w:val="20"/>
          <w:szCs w:val="20"/>
        </w:rPr>
      </w:pPr>
      <w:r w:rsidRPr="000A1AEA">
        <w:rPr>
          <w:rFonts w:cs="Arial"/>
          <w:sz w:val="20"/>
          <w:szCs w:val="20"/>
        </w:rPr>
        <w:t>The IASB may consider requiring an explanation of material hedge ineffectiveness, including its principal cause, while allowing aggregation of immaterial amounts.</w:t>
      </w:r>
    </w:p>
    <w:p w14:paraId="6F71130C" w14:textId="05F5FA02" w:rsidR="000A1AEA" w:rsidRPr="000A1AEA" w:rsidRDefault="000A1AEA" w:rsidP="000A1AEA">
      <w:pPr>
        <w:spacing w:after="0" w:line="240" w:lineRule="auto"/>
        <w:jc w:val="both"/>
        <w:rPr>
          <w:rFonts w:cs="Arial"/>
          <w:sz w:val="20"/>
          <w:szCs w:val="20"/>
        </w:rPr>
      </w:pPr>
    </w:p>
    <w:p w14:paraId="5FF4A27A"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6. Rebalancing, Discontinuation and Non-occurrence</w:t>
      </w:r>
    </w:p>
    <w:p w14:paraId="29A39086" w14:textId="77777777" w:rsidR="000A1AEA" w:rsidRDefault="000A1AEA" w:rsidP="000A1AEA">
      <w:pPr>
        <w:spacing w:after="0" w:line="240" w:lineRule="auto"/>
        <w:jc w:val="both"/>
        <w:rPr>
          <w:rFonts w:cs="Arial"/>
          <w:sz w:val="20"/>
          <w:szCs w:val="20"/>
        </w:rPr>
      </w:pPr>
    </w:p>
    <w:p w14:paraId="470A0A8C" w14:textId="4884CC6F" w:rsidR="000A1AEA" w:rsidRPr="000A1AEA" w:rsidRDefault="000A1AEA" w:rsidP="000A1AEA">
      <w:pPr>
        <w:spacing w:after="0" w:line="240" w:lineRule="auto"/>
        <w:jc w:val="both"/>
        <w:rPr>
          <w:rFonts w:cs="Arial"/>
          <w:sz w:val="20"/>
          <w:szCs w:val="20"/>
        </w:rPr>
      </w:pPr>
      <w:r w:rsidRPr="000A1AEA">
        <w:rPr>
          <w:rFonts w:cs="Arial"/>
          <w:sz w:val="20"/>
          <w:szCs w:val="20"/>
        </w:rPr>
        <w:t>Users may benefit from information about material changes in hedge relationships, particularly where:</w:t>
      </w:r>
    </w:p>
    <w:p w14:paraId="674369BC" w14:textId="77777777" w:rsidR="000A1AEA" w:rsidRPr="000A1AEA" w:rsidRDefault="000A1AEA" w:rsidP="000A1AEA">
      <w:pPr>
        <w:numPr>
          <w:ilvl w:val="0"/>
          <w:numId w:val="23"/>
        </w:numPr>
        <w:spacing w:after="0" w:line="240" w:lineRule="auto"/>
        <w:jc w:val="both"/>
        <w:rPr>
          <w:rFonts w:cs="Arial"/>
          <w:sz w:val="20"/>
          <w:szCs w:val="20"/>
        </w:rPr>
      </w:pPr>
      <w:r w:rsidRPr="000A1AEA">
        <w:rPr>
          <w:rFonts w:cs="Arial"/>
          <w:sz w:val="20"/>
          <w:szCs w:val="20"/>
        </w:rPr>
        <w:t>a hedge relationship has been rebalanced;</w:t>
      </w:r>
    </w:p>
    <w:p w14:paraId="203C3913" w14:textId="77777777" w:rsidR="000A1AEA" w:rsidRPr="000A1AEA" w:rsidRDefault="000A1AEA" w:rsidP="000A1AEA">
      <w:pPr>
        <w:numPr>
          <w:ilvl w:val="0"/>
          <w:numId w:val="23"/>
        </w:numPr>
        <w:spacing w:after="0" w:line="240" w:lineRule="auto"/>
        <w:jc w:val="both"/>
        <w:rPr>
          <w:rFonts w:cs="Arial"/>
          <w:sz w:val="20"/>
          <w:szCs w:val="20"/>
        </w:rPr>
      </w:pPr>
      <w:r w:rsidRPr="000A1AEA">
        <w:rPr>
          <w:rFonts w:cs="Arial"/>
          <w:sz w:val="20"/>
          <w:szCs w:val="20"/>
        </w:rPr>
        <w:t>hedge accounting has been discontinued;</w:t>
      </w:r>
    </w:p>
    <w:p w14:paraId="41665755" w14:textId="77777777" w:rsidR="000A1AEA" w:rsidRPr="000A1AEA" w:rsidRDefault="000A1AEA" w:rsidP="000A1AEA">
      <w:pPr>
        <w:numPr>
          <w:ilvl w:val="0"/>
          <w:numId w:val="23"/>
        </w:numPr>
        <w:spacing w:after="0" w:line="240" w:lineRule="auto"/>
        <w:jc w:val="both"/>
        <w:rPr>
          <w:rFonts w:cs="Arial"/>
          <w:sz w:val="20"/>
          <w:szCs w:val="20"/>
        </w:rPr>
      </w:pPr>
      <w:r w:rsidRPr="000A1AEA">
        <w:rPr>
          <w:rFonts w:cs="Arial"/>
          <w:sz w:val="20"/>
          <w:szCs w:val="20"/>
        </w:rPr>
        <w:t>a forecast transaction is no longer expected to occur;</w:t>
      </w:r>
    </w:p>
    <w:p w14:paraId="0E313205" w14:textId="77777777" w:rsidR="000A1AEA" w:rsidRPr="000A1AEA" w:rsidRDefault="000A1AEA" w:rsidP="000A1AEA">
      <w:pPr>
        <w:numPr>
          <w:ilvl w:val="0"/>
          <w:numId w:val="23"/>
        </w:numPr>
        <w:spacing w:after="0" w:line="240" w:lineRule="auto"/>
        <w:jc w:val="both"/>
        <w:rPr>
          <w:rFonts w:cs="Arial"/>
          <w:sz w:val="20"/>
          <w:szCs w:val="20"/>
        </w:rPr>
      </w:pPr>
      <w:r w:rsidRPr="000A1AEA">
        <w:rPr>
          <w:rFonts w:cs="Arial"/>
          <w:sz w:val="20"/>
          <w:szCs w:val="20"/>
        </w:rPr>
        <w:t>amounts have been reclassified from the cash flow hedge reserve; or</w:t>
      </w:r>
    </w:p>
    <w:p w14:paraId="1058B100" w14:textId="77777777" w:rsidR="000A1AEA" w:rsidRPr="000A1AEA" w:rsidRDefault="000A1AEA" w:rsidP="000A1AEA">
      <w:pPr>
        <w:numPr>
          <w:ilvl w:val="0"/>
          <w:numId w:val="23"/>
        </w:numPr>
        <w:spacing w:after="0" w:line="240" w:lineRule="auto"/>
        <w:jc w:val="both"/>
        <w:rPr>
          <w:rFonts w:cs="Arial"/>
          <w:sz w:val="20"/>
          <w:szCs w:val="20"/>
        </w:rPr>
      </w:pPr>
      <w:r w:rsidRPr="000A1AEA">
        <w:rPr>
          <w:rFonts w:cs="Arial"/>
          <w:sz w:val="20"/>
          <w:szCs w:val="20"/>
        </w:rPr>
        <w:t xml:space="preserve">the entity has materially changed the </w:t>
      </w:r>
      <w:proofErr w:type="gramStart"/>
      <w:r w:rsidRPr="000A1AEA">
        <w:rPr>
          <w:rFonts w:cs="Arial"/>
          <w:sz w:val="20"/>
          <w:szCs w:val="20"/>
        </w:rPr>
        <w:t>manner in which</w:t>
      </w:r>
      <w:proofErr w:type="gramEnd"/>
      <w:r w:rsidRPr="000A1AEA">
        <w:rPr>
          <w:rFonts w:cs="Arial"/>
          <w:sz w:val="20"/>
          <w:szCs w:val="20"/>
        </w:rPr>
        <w:t xml:space="preserve"> a risk is managed.</w:t>
      </w:r>
    </w:p>
    <w:p w14:paraId="37E5D701" w14:textId="77777777" w:rsidR="000A1AEA" w:rsidRDefault="000A1AEA" w:rsidP="000A1AEA">
      <w:pPr>
        <w:spacing w:after="0" w:line="240" w:lineRule="auto"/>
        <w:jc w:val="both"/>
        <w:rPr>
          <w:rFonts w:cs="Arial"/>
          <w:sz w:val="20"/>
          <w:szCs w:val="20"/>
        </w:rPr>
      </w:pPr>
    </w:p>
    <w:p w14:paraId="358B15E8" w14:textId="02EC2220" w:rsidR="000A1AEA" w:rsidRDefault="000A1AEA" w:rsidP="000A1AEA">
      <w:pPr>
        <w:spacing w:after="0" w:line="240" w:lineRule="auto"/>
        <w:jc w:val="both"/>
        <w:rPr>
          <w:rFonts w:cs="Arial"/>
          <w:sz w:val="20"/>
          <w:szCs w:val="20"/>
        </w:rPr>
      </w:pPr>
      <w:r w:rsidRPr="000A1AEA">
        <w:rPr>
          <w:rFonts w:cs="Arial"/>
          <w:sz w:val="20"/>
          <w:szCs w:val="20"/>
        </w:rPr>
        <w:t>These events may provide more meaningful information about the operation of the entity’s risk management strategy than additional static tables.</w:t>
      </w:r>
    </w:p>
    <w:p w14:paraId="5746B65A" w14:textId="77777777" w:rsidR="000A1AEA" w:rsidRPr="000A1AEA" w:rsidRDefault="000A1AEA" w:rsidP="000A1AEA">
      <w:pPr>
        <w:spacing w:after="0" w:line="240" w:lineRule="auto"/>
        <w:jc w:val="both"/>
        <w:rPr>
          <w:rFonts w:cs="Arial"/>
          <w:sz w:val="20"/>
          <w:szCs w:val="20"/>
        </w:rPr>
      </w:pPr>
    </w:p>
    <w:p w14:paraId="33D43502" w14:textId="77777777" w:rsidR="000A1AEA" w:rsidRPr="000A1AEA" w:rsidRDefault="000A1AEA" w:rsidP="000A1AEA">
      <w:pPr>
        <w:spacing w:after="0" w:line="240" w:lineRule="auto"/>
        <w:jc w:val="both"/>
        <w:rPr>
          <w:rFonts w:cs="Arial"/>
          <w:sz w:val="20"/>
          <w:szCs w:val="20"/>
        </w:rPr>
      </w:pPr>
      <w:r w:rsidRPr="000A1AEA">
        <w:rPr>
          <w:rFonts w:cs="Arial"/>
          <w:sz w:val="20"/>
          <w:szCs w:val="20"/>
        </w:rPr>
        <w:t>Any additional disclosure should, however, be limited to material events and should not become a routine reconciliation requirement for every individual hedge relationship.</w:t>
      </w:r>
    </w:p>
    <w:p w14:paraId="6F024B64" w14:textId="4ECE7BBA" w:rsidR="000A1AEA" w:rsidRPr="000A1AEA" w:rsidRDefault="000A1AEA" w:rsidP="000A1AEA">
      <w:pPr>
        <w:spacing w:after="0" w:line="240" w:lineRule="auto"/>
        <w:jc w:val="both"/>
        <w:rPr>
          <w:rFonts w:cs="Arial"/>
          <w:sz w:val="20"/>
          <w:szCs w:val="20"/>
        </w:rPr>
      </w:pPr>
    </w:p>
    <w:p w14:paraId="461327F9"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7. Duration and Renewal of Hedges</w:t>
      </w:r>
    </w:p>
    <w:p w14:paraId="1B95E6F2" w14:textId="77777777" w:rsidR="000A1AEA" w:rsidRDefault="000A1AEA" w:rsidP="000A1AEA">
      <w:pPr>
        <w:spacing w:after="0" w:line="240" w:lineRule="auto"/>
        <w:jc w:val="both"/>
        <w:rPr>
          <w:rFonts w:cs="Arial"/>
          <w:sz w:val="20"/>
          <w:szCs w:val="20"/>
        </w:rPr>
      </w:pPr>
    </w:p>
    <w:p w14:paraId="67F163FB" w14:textId="626D7106" w:rsidR="000A1AEA" w:rsidRDefault="000A1AEA" w:rsidP="000A1AEA">
      <w:pPr>
        <w:spacing w:after="0" w:line="240" w:lineRule="auto"/>
        <w:jc w:val="both"/>
        <w:rPr>
          <w:rFonts w:cs="Arial"/>
          <w:sz w:val="20"/>
          <w:szCs w:val="20"/>
        </w:rPr>
      </w:pPr>
      <w:r w:rsidRPr="000A1AEA">
        <w:rPr>
          <w:rFonts w:cs="Arial"/>
          <w:sz w:val="20"/>
          <w:szCs w:val="20"/>
        </w:rPr>
        <w:t>Information about the period over which an entity is hedged can be useful in understanding future exposure. However, such information should not require disclosure of commercially sensitive treasury positions or detailed future dealing strategies.</w:t>
      </w:r>
    </w:p>
    <w:p w14:paraId="31B554F8" w14:textId="77777777" w:rsidR="000A1AEA" w:rsidRPr="000A1AEA" w:rsidRDefault="000A1AEA" w:rsidP="000A1AEA">
      <w:pPr>
        <w:spacing w:after="0" w:line="240" w:lineRule="auto"/>
        <w:jc w:val="both"/>
        <w:rPr>
          <w:rFonts w:cs="Arial"/>
          <w:sz w:val="20"/>
          <w:szCs w:val="20"/>
        </w:rPr>
      </w:pPr>
    </w:p>
    <w:p w14:paraId="32957CEF" w14:textId="77777777" w:rsidR="000A1AEA" w:rsidRDefault="000A1AEA" w:rsidP="000A1AEA">
      <w:pPr>
        <w:spacing w:after="0" w:line="240" w:lineRule="auto"/>
        <w:jc w:val="both"/>
        <w:rPr>
          <w:rFonts w:cs="Arial"/>
          <w:sz w:val="20"/>
          <w:szCs w:val="20"/>
        </w:rPr>
      </w:pPr>
      <w:r w:rsidRPr="000A1AEA">
        <w:rPr>
          <w:rFonts w:cs="Arial"/>
          <w:sz w:val="20"/>
          <w:szCs w:val="20"/>
        </w:rPr>
        <w:t>The IASB should maintain a balance between decision-useful information and the risk of requiring entities to disclose confidential information that may affect their ability to execute future hedging transactions.</w:t>
      </w:r>
    </w:p>
    <w:p w14:paraId="7BA0C873" w14:textId="77777777" w:rsidR="000A1AEA" w:rsidRPr="000A1AEA" w:rsidRDefault="000A1AEA" w:rsidP="000A1AEA">
      <w:pPr>
        <w:spacing w:after="0" w:line="240" w:lineRule="auto"/>
        <w:jc w:val="both"/>
        <w:rPr>
          <w:rFonts w:cs="Arial"/>
          <w:sz w:val="20"/>
          <w:szCs w:val="20"/>
        </w:rPr>
      </w:pPr>
    </w:p>
    <w:p w14:paraId="2BE6B41E" w14:textId="77777777" w:rsidR="000A1AEA" w:rsidRPr="000A1AEA" w:rsidRDefault="000A1AEA" w:rsidP="000A1AEA">
      <w:pPr>
        <w:spacing w:after="0" w:line="240" w:lineRule="auto"/>
        <w:jc w:val="both"/>
        <w:rPr>
          <w:rFonts w:cs="Arial"/>
          <w:sz w:val="20"/>
          <w:szCs w:val="20"/>
        </w:rPr>
      </w:pPr>
      <w:r w:rsidRPr="000A1AEA">
        <w:rPr>
          <w:rFonts w:cs="Arial"/>
          <w:sz w:val="20"/>
          <w:szCs w:val="20"/>
        </w:rPr>
        <w:t>Broad maturity bands and qualitative explanations may be more appropriate than highly granular information.</w:t>
      </w:r>
    </w:p>
    <w:p w14:paraId="4C98ADD4" w14:textId="6236DC43" w:rsidR="000A1AEA" w:rsidRPr="000A1AEA" w:rsidRDefault="000A1AEA" w:rsidP="000A1AEA">
      <w:pPr>
        <w:spacing w:after="0" w:line="240" w:lineRule="auto"/>
        <w:jc w:val="both"/>
        <w:rPr>
          <w:rFonts w:cs="Arial"/>
          <w:sz w:val="20"/>
          <w:szCs w:val="20"/>
        </w:rPr>
      </w:pPr>
    </w:p>
    <w:p w14:paraId="18516A12"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8. Overall Benefits to Users</w:t>
      </w:r>
    </w:p>
    <w:p w14:paraId="1A2E4136" w14:textId="77777777" w:rsidR="000A1AEA" w:rsidRDefault="000A1AEA" w:rsidP="000A1AEA">
      <w:pPr>
        <w:spacing w:after="0" w:line="240" w:lineRule="auto"/>
        <w:jc w:val="both"/>
        <w:rPr>
          <w:rFonts w:cs="Arial"/>
          <w:sz w:val="20"/>
          <w:szCs w:val="20"/>
        </w:rPr>
      </w:pPr>
    </w:p>
    <w:p w14:paraId="065EF608" w14:textId="6DACD32C" w:rsidR="000A1AEA" w:rsidRPr="000A1AEA" w:rsidRDefault="000A1AEA" w:rsidP="000A1AEA">
      <w:pPr>
        <w:spacing w:after="0" w:line="240" w:lineRule="auto"/>
        <w:jc w:val="both"/>
        <w:rPr>
          <w:rFonts w:cs="Arial"/>
          <w:sz w:val="20"/>
          <w:szCs w:val="20"/>
        </w:rPr>
      </w:pPr>
      <w:r w:rsidRPr="000A1AEA">
        <w:rPr>
          <w:rFonts w:cs="Arial"/>
          <w:sz w:val="20"/>
          <w:szCs w:val="20"/>
        </w:rPr>
        <w:t>The disclosures can be useful when they provide a clear connection between:</w:t>
      </w:r>
    </w:p>
    <w:p w14:paraId="04113AF2" w14:textId="77777777" w:rsidR="000A1AEA" w:rsidRPr="000A1AEA" w:rsidRDefault="000A1AEA" w:rsidP="000A1AEA">
      <w:pPr>
        <w:numPr>
          <w:ilvl w:val="0"/>
          <w:numId w:val="24"/>
        </w:numPr>
        <w:spacing w:after="0" w:line="240" w:lineRule="auto"/>
        <w:jc w:val="both"/>
        <w:rPr>
          <w:rFonts w:cs="Arial"/>
          <w:sz w:val="20"/>
          <w:szCs w:val="20"/>
        </w:rPr>
      </w:pPr>
      <w:r w:rsidRPr="000A1AEA">
        <w:rPr>
          <w:rFonts w:cs="Arial"/>
          <w:sz w:val="20"/>
          <w:szCs w:val="20"/>
        </w:rPr>
        <w:t>the exposure;</w:t>
      </w:r>
    </w:p>
    <w:p w14:paraId="240F0592" w14:textId="77777777" w:rsidR="000A1AEA" w:rsidRPr="000A1AEA" w:rsidRDefault="000A1AEA" w:rsidP="000A1AEA">
      <w:pPr>
        <w:numPr>
          <w:ilvl w:val="0"/>
          <w:numId w:val="24"/>
        </w:numPr>
        <w:spacing w:after="0" w:line="240" w:lineRule="auto"/>
        <w:jc w:val="both"/>
        <w:rPr>
          <w:rFonts w:cs="Arial"/>
          <w:sz w:val="20"/>
          <w:szCs w:val="20"/>
        </w:rPr>
      </w:pPr>
      <w:r w:rsidRPr="000A1AEA">
        <w:rPr>
          <w:rFonts w:cs="Arial"/>
          <w:sz w:val="20"/>
          <w:szCs w:val="20"/>
        </w:rPr>
        <w:t>the risk management strategy;</w:t>
      </w:r>
    </w:p>
    <w:p w14:paraId="6F557998" w14:textId="77777777" w:rsidR="000A1AEA" w:rsidRPr="000A1AEA" w:rsidRDefault="000A1AEA" w:rsidP="000A1AEA">
      <w:pPr>
        <w:numPr>
          <w:ilvl w:val="0"/>
          <w:numId w:val="24"/>
        </w:numPr>
        <w:spacing w:after="0" w:line="240" w:lineRule="auto"/>
        <w:jc w:val="both"/>
        <w:rPr>
          <w:rFonts w:cs="Arial"/>
          <w:sz w:val="20"/>
          <w:szCs w:val="20"/>
        </w:rPr>
      </w:pPr>
      <w:r w:rsidRPr="000A1AEA">
        <w:rPr>
          <w:rFonts w:cs="Arial"/>
          <w:sz w:val="20"/>
          <w:szCs w:val="20"/>
        </w:rPr>
        <w:t>the hedging instrument;</w:t>
      </w:r>
    </w:p>
    <w:p w14:paraId="3D26A7F7" w14:textId="77777777" w:rsidR="000A1AEA" w:rsidRPr="000A1AEA" w:rsidRDefault="000A1AEA" w:rsidP="000A1AEA">
      <w:pPr>
        <w:numPr>
          <w:ilvl w:val="0"/>
          <w:numId w:val="24"/>
        </w:numPr>
        <w:spacing w:after="0" w:line="240" w:lineRule="auto"/>
        <w:jc w:val="both"/>
        <w:rPr>
          <w:rFonts w:cs="Arial"/>
          <w:sz w:val="20"/>
          <w:szCs w:val="20"/>
        </w:rPr>
      </w:pPr>
      <w:r w:rsidRPr="000A1AEA">
        <w:rPr>
          <w:rFonts w:cs="Arial"/>
          <w:sz w:val="20"/>
          <w:szCs w:val="20"/>
        </w:rPr>
        <w:t>the accounting effect; and</w:t>
      </w:r>
    </w:p>
    <w:p w14:paraId="0F06905E" w14:textId="77777777" w:rsidR="000A1AEA" w:rsidRPr="000A1AEA" w:rsidRDefault="000A1AEA" w:rsidP="000A1AEA">
      <w:pPr>
        <w:numPr>
          <w:ilvl w:val="0"/>
          <w:numId w:val="24"/>
        </w:numPr>
        <w:spacing w:after="0" w:line="240" w:lineRule="auto"/>
        <w:jc w:val="both"/>
        <w:rPr>
          <w:rFonts w:cs="Arial"/>
          <w:sz w:val="20"/>
          <w:szCs w:val="20"/>
        </w:rPr>
      </w:pPr>
      <w:r w:rsidRPr="000A1AEA">
        <w:rPr>
          <w:rFonts w:cs="Arial"/>
          <w:sz w:val="20"/>
          <w:szCs w:val="20"/>
        </w:rPr>
        <w:t>the expected timing of future cash flows.</w:t>
      </w:r>
    </w:p>
    <w:p w14:paraId="3F0D845A" w14:textId="77777777" w:rsidR="000A1AEA" w:rsidRDefault="000A1AEA" w:rsidP="000A1AEA">
      <w:pPr>
        <w:spacing w:after="0" w:line="240" w:lineRule="auto"/>
        <w:jc w:val="both"/>
        <w:rPr>
          <w:rFonts w:cs="Arial"/>
          <w:sz w:val="20"/>
          <w:szCs w:val="20"/>
        </w:rPr>
      </w:pPr>
    </w:p>
    <w:p w14:paraId="09DD0D44" w14:textId="7B8882C4" w:rsidR="000A1AEA" w:rsidRPr="000A1AEA" w:rsidRDefault="000A1AEA" w:rsidP="000A1AEA">
      <w:pPr>
        <w:spacing w:after="0" w:line="240" w:lineRule="auto"/>
        <w:jc w:val="both"/>
        <w:rPr>
          <w:rFonts w:cs="Arial"/>
          <w:sz w:val="20"/>
          <w:szCs w:val="20"/>
        </w:rPr>
      </w:pPr>
      <w:r w:rsidRPr="000A1AEA">
        <w:rPr>
          <w:rFonts w:cs="Arial"/>
          <w:sz w:val="20"/>
          <w:szCs w:val="20"/>
        </w:rPr>
        <w:lastRenderedPageBreak/>
        <w:t>The benefits are significantly reduced where the note consists mainly of standard language and extensive tables without explaining the commercial purpose and outcome of the hedge.</w:t>
      </w:r>
    </w:p>
    <w:p w14:paraId="00529624" w14:textId="2B49FCF4" w:rsidR="000A1AEA" w:rsidRPr="000A1AEA" w:rsidRDefault="008C74A4" w:rsidP="000A1AEA">
      <w:pPr>
        <w:spacing w:after="0" w:line="240" w:lineRule="auto"/>
        <w:jc w:val="both"/>
        <w:rPr>
          <w:rFonts w:cs="Arial"/>
          <w:sz w:val="20"/>
          <w:szCs w:val="20"/>
        </w:rPr>
      </w:pPr>
      <w:r>
        <w:rPr>
          <w:rFonts w:cs="Arial"/>
          <w:sz w:val="20"/>
          <w:szCs w:val="20"/>
        </w:rPr>
        <w:t xml:space="preserve">I </w:t>
      </w:r>
      <w:r w:rsidR="000A1AEA" w:rsidRPr="000A1AEA">
        <w:rPr>
          <w:rFonts w:cs="Arial"/>
          <w:sz w:val="20"/>
          <w:szCs w:val="20"/>
        </w:rPr>
        <w:t>therefore recommend that any changes to IFRS 7 focus on improving the relevance and clarity of existing disclosures rather than increasing their volume.</w:t>
      </w:r>
    </w:p>
    <w:p w14:paraId="7B568B89" w14:textId="049B40F3" w:rsidR="000A1AEA" w:rsidRPr="000A1AEA" w:rsidRDefault="000A1AEA" w:rsidP="000A1AEA">
      <w:pPr>
        <w:spacing w:after="0" w:line="240" w:lineRule="auto"/>
        <w:jc w:val="both"/>
        <w:rPr>
          <w:rFonts w:cs="Arial"/>
          <w:sz w:val="20"/>
          <w:szCs w:val="20"/>
        </w:rPr>
      </w:pPr>
    </w:p>
    <w:p w14:paraId="42340A45"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QUESTION 3</w:t>
      </w:r>
    </w:p>
    <w:p w14:paraId="3FCB4570" w14:textId="77777777" w:rsidR="000A1AEA" w:rsidRDefault="000A1AEA" w:rsidP="000A1AEA">
      <w:pPr>
        <w:spacing w:after="0" w:line="240" w:lineRule="auto"/>
        <w:jc w:val="both"/>
        <w:rPr>
          <w:rFonts w:cs="Arial"/>
          <w:b/>
          <w:bCs/>
          <w:sz w:val="20"/>
          <w:szCs w:val="20"/>
        </w:rPr>
      </w:pPr>
    </w:p>
    <w:p w14:paraId="617AD8E6" w14:textId="53174BFF" w:rsidR="000A1AEA" w:rsidRPr="000A1AEA" w:rsidRDefault="000A1AEA" w:rsidP="000A1AEA">
      <w:pPr>
        <w:spacing w:after="0" w:line="240" w:lineRule="auto"/>
        <w:jc w:val="both"/>
        <w:rPr>
          <w:rFonts w:cs="Arial"/>
          <w:b/>
          <w:bCs/>
          <w:sz w:val="20"/>
          <w:szCs w:val="20"/>
        </w:rPr>
      </w:pPr>
      <w:r w:rsidRPr="000A1AEA">
        <w:rPr>
          <w:rFonts w:cs="Arial"/>
          <w:b/>
          <w:bCs/>
          <w:sz w:val="20"/>
          <w:szCs w:val="20"/>
        </w:rPr>
        <w:t>Other Matters Relevant to the Post-implementation Review</w:t>
      </w:r>
    </w:p>
    <w:p w14:paraId="7B4D9850" w14:textId="77777777" w:rsidR="000A1AEA" w:rsidRDefault="000A1AEA" w:rsidP="000A1AEA">
      <w:pPr>
        <w:spacing w:after="0" w:line="240" w:lineRule="auto"/>
        <w:jc w:val="both"/>
        <w:rPr>
          <w:rFonts w:cs="Arial"/>
          <w:b/>
          <w:bCs/>
          <w:sz w:val="20"/>
          <w:szCs w:val="20"/>
        </w:rPr>
      </w:pPr>
    </w:p>
    <w:p w14:paraId="40DFD59B" w14:textId="74339E52" w:rsidR="000A1AEA" w:rsidRPr="000A1AEA" w:rsidRDefault="000A1AEA" w:rsidP="000A1AEA">
      <w:pPr>
        <w:spacing w:after="0" w:line="240" w:lineRule="auto"/>
        <w:jc w:val="both"/>
        <w:rPr>
          <w:rFonts w:cs="Arial"/>
          <w:b/>
          <w:bCs/>
          <w:sz w:val="20"/>
          <w:szCs w:val="20"/>
        </w:rPr>
      </w:pPr>
      <w:r w:rsidRPr="000A1AEA">
        <w:rPr>
          <w:rFonts w:cs="Arial"/>
          <w:b/>
          <w:bCs/>
          <w:sz w:val="20"/>
          <w:szCs w:val="20"/>
        </w:rPr>
        <w:t>1. Interaction with Emerging Transactions and Risk Management Practices</w:t>
      </w:r>
    </w:p>
    <w:p w14:paraId="265C6BCD" w14:textId="77777777" w:rsidR="000A1AEA" w:rsidRDefault="000A1AEA" w:rsidP="000A1AEA">
      <w:pPr>
        <w:spacing w:after="0" w:line="240" w:lineRule="auto"/>
        <w:jc w:val="both"/>
        <w:rPr>
          <w:rFonts w:cs="Arial"/>
          <w:sz w:val="20"/>
          <w:szCs w:val="20"/>
        </w:rPr>
      </w:pPr>
    </w:p>
    <w:p w14:paraId="66128448" w14:textId="6AD91DE3" w:rsidR="000A1AEA" w:rsidRPr="000A1AEA" w:rsidRDefault="000A1AEA" w:rsidP="000A1AEA">
      <w:pPr>
        <w:spacing w:after="0" w:line="240" w:lineRule="auto"/>
        <w:jc w:val="both"/>
        <w:rPr>
          <w:rFonts w:cs="Arial"/>
          <w:sz w:val="20"/>
          <w:szCs w:val="20"/>
        </w:rPr>
      </w:pPr>
      <w:r w:rsidRPr="000A1AEA">
        <w:rPr>
          <w:rFonts w:cs="Arial"/>
          <w:sz w:val="20"/>
          <w:szCs w:val="20"/>
        </w:rPr>
        <w:t>Risk management practices have continued to evolve since IFRS 9 was issued. Entities increasingly encounter arrangements involving:</w:t>
      </w:r>
    </w:p>
    <w:p w14:paraId="6F69AA5A"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renewable and nature-dependent electricity;</w:t>
      </w:r>
    </w:p>
    <w:p w14:paraId="43B923A0"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long-term power purchase arrangements;</w:t>
      </w:r>
    </w:p>
    <w:p w14:paraId="30987E61"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sustainability-linked financing;</w:t>
      </w:r>
    </w:p>
    <w:p w14:paraId="65350D21"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carbon-related exposures;</w:t>
      </w:r>
    </w:p>
    <w:p w14:paraId="3F45862D"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commodity contracts with complex pricing formulas;</w:t>
      </w:r>
    </w:p>
    <w:p w14:paraId="6939485B"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transactions combining physical supply and financial settlement features; and</w:t>
      </w:r>
    </w:p>
    <w:p w14:paraId="5599CD5C" w14:textId="77777777" w:rsidR="000A1AEA" w:rsidRPr="000A1AEA" w:rsidRDefault="000A1AEA" w:rsidP="000A1AEA">
      <w:pPr>
        <w:numPr>
          <w:ilvl w:val="0"/>
          <w:numId w:val="25"/>
        </w:numPr>
        <w:spacing w:after="0" w:line="240" w:lineRule="auto"/>
        <w:jc w:val="both"/>
        <w:rPr>
          <w:rFonts w:cs="Arial"/>
          <w:sz w:val="20"/>
          <w:szCs w:val="20"/>
        </w:rPr>
      </w:pPr>
      <w:r w:rsidRPr="000A1AEA">
        <w:rPr>
          <w:rFonts w:cs="Arial"/>
          <w:sz w:val="20"/>
          <w:szCs w:val="20"/>
        </w:rPr>
        <w:t>centrally managed or dynamic risk positions.</w:t>
      </w:r>
    </w:p>
    <w:p w14:paraId="1E5BF06E" w14:textId="77777777" w:rsidR="000A1AEA" w:rsidRDefault="000A1AEA" w:rsidP="000A1AEA">
      <w:pPr>
        <w:spacing w:after="0" w:line="240" w:lineRule="auto"/>
        <w:jc w:val="both"/>
        <w:rPr>
          <w:rFonts w:cs="Arial"/>
          <w:sz w:val="20"/>
          <w:szCs w:val="20"/>
        </w:rPr>
      </w:pPr>
    </w:p>
    <w:p w14:paraId="08681765" w14:textId="42A06553" w:rsidR="000A1AEA" w:rsidRDefault="000A1AEA" w:rsidP="000A1AEA">
      <w:pPr>
        <w:spacing w:after="0" w:line="240" w:lineRule="auto"/>
        <w:jc w:val="both"/>
        <w:rPr>
          <w:rFonts w:cs="Arial"/>
          <w:sz w:val="20"/>
          <w:szCs w:val="20"/>
        </w:rPr>
      </w:pPr>
      <w:r w:rsidRPr="000A1AEA">
        <w:rPr>
          <w:rFonts w:cs="Arial"/>
          <w:sz w:val="20"/>
          <w:szCs w:val="20"/>
        </w:rPr>
        <w:t>Some of these arrangements raise questions not only under hedge accounting but also regarding the scope and classification requirements for financial instruments.</w:t>
      </w:r>
    </w:p>
    <w:p w14:paraId="1113D1B9" w14:textId="77777777" w:rsidR="000A1AEA" w:rsidRPr="000A1AEA" w:rsidRDefault="000A1AEA" w:rsidP="000A1AEA">
      <w:pPr>
        <w:spacing w:after="0" w:line="240" w:lineRule="auto"/>
        <w:jc w:val="both"/>
        <w:rPr>
          <w:rFonts w:cs="Arial"/>
          <w:sz w:val="20"/>
          <w:szCs w:val="20"/>
        </w:rPr>
      </w:pPr>
    </w:p>
    <w:p w14:paraId="1C56306C" w14:textId="6F1D3EF1" w:rsidR="000A1AEA" w:rsidRPr="000A1AEA" w:rsidRDefault="008C74A4" w:rsidP="000A1AEA">
      <w:pPr>
        <w:spacing w:after="0" w:line="240" w:lineRule="auto"/>
        <w:jc w:val="both"/>
        <w:rPr>
          <w:rFonts w:cs="Arial"/>
          <w:sz w:val="20"/>
          <w:szCs w:val="20"/>
        </w:rPr>
      </w:pPr>
      <w:r>
        <w:rPr>
          <w:rFonts w:cs="Arial"/>
          <w:sz w:val="20"/>
          <w:szCs w:val="20"/>
        </w:rPr>
        <w:t xml:space="preserve">I </w:t>
      </w:r>
      <w:r w:rsidR="000A1AEA" w:rsidRPr="000A1AEA">
        <w:rPr>
          <w:rFonts w:cs="Arial"/>
          <w:sz w:val="20"/>
          <w:szCs w:val="20"/>
        </w:rPr>
        <w:t>recommend that the IASB monitor whether the existing hedge accounting requirements adequately address these arrangements and provide targeted guidance where a matter is widespread and materially affects financial reporting.</w:t>
      </w:r>
    </w:p>
    <w:p w14:paraId="318C5196" w14:textId="406165F9" w:rsidR="000A1AEA" w:rsidRPr="000A1AEA" w:rsidRDefault="000A1AEA" w:rsidP="000A1AEA">
      <w:pPr>
        <w:spacing w:after="0" w:line="240" w:lineRule="auto"/>
        <w:jc w:val="both"/>
        <w:rPr>
          <w:rFonts w:cs="Arial"/>
          <w:sz w:val="20"/>
          <w:szCs w:val="20"/>
        </w:rPr>
      </w:pPr>
    </w:p>
    <w:p w14:paraId="6F22C3BA"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2. Non-financial Risk Components</w:t>
      </w:r>
    </w:p>
    <w:p w14:paraId="3B270058" w14:textId="77777777" w:rsidR="000A1AEA" w:rsidRDefault="000A1AEA" w:rsidP="000A1AEA">
      <w:pPr>
        <w:spacing w:after="0" w:line="240" w:lineRule="auto"/>
        <w:jc w:val="both"/>
        <w:rPr>
          <w:rFonts w:cs="Arial"/>
          <w:sz w:val="20"/>
          <w:szCs w:val="20"/>
        </w:rPr>
      </w:pPr>
    </w:p>
    <w:p w14:paraId="23BBA76A" w14:textId="7391CB09" w:rsidR="000A1AEA" w:rsidRDefault="000A1AEA" w:rsidP="000A1AEA">
      <w:pPr>
        <w:spacing w:after="0" w:line="240" w:lineRule="auto"/>
        <w:jc w:val="both"/>
        <w:rPr>
          <w:rFonts w:cs="Arial"/>
          <w:sz w:val="20"/>
          <w:szCs w:val="20"/>
        </w:rPr>
      </w:pPr>
      <w:r w:rsidRPr="000A1AEA">
        <w:rPr>
          <w:rFonts w:cs="Arial"/>
          <w:sz w:val="20"/>
          <w:szCs w:val="20"/>
        </w:rPr>
        <w:t>The ability to designate a risk component of a non-financial item is a significant improvement under IFRS 9. However, considerable judgement may be required to establish that the component is separately identifiable and reliably measurable.</w:t>
      </w:r>
    </w:p>
    <w:p w14:paraId="0F50C7F5" w14:textId="77777777" w:rsidR="000A1AEA" w:rsidRPr="000A1AEA" w:rsidRDefault="000A1AEA" w:rsidP="000A1AEA">
      <w:pPr>
        <w:spacing w:after="0" w:line="240" w:lineRule="auto"/>
        <w:jc w:val="both"/>
        <w:rPr>
          <w:rFonts w:cs="Arial"/>
          <w:sz w:val="20"/>
          <w:szCs w:val="20"/>
        </w:rPr>
      </w:pPr>
    </w:p>
    <w:p w14:paraId="71125643" w14:textId="77777777" w:rsidR="000A1AEA" w:rsidRPr="000A1AEA" w:rsidRDefault="000A1AEA" w:rsidP="000A1AEA">
      <w:pPr>
        <w:spacing w:after="0" w:line="240" w:lineRule="auto"/>
        <w:jc w:val="both"/>
        <w:rPr>
          <w:rFonts w:cs="Arial"/>
          <w:sz w:val="20"/>
          <w:szCs w:val="20"/>
        </w:rPr>
      </w:pPr>
      <w:r w:rsidRPr="000A1AEA">
        <w:rPr>
          <w:rFonts w:cs="Arial"/>
          <w:sz w:val="20"/>
          <w:szCs w:val="20"/>
        </w:rPr>
        <w:t>This is especially relevant where:</w:t>
      </w:r>
    </w:p>
    <w:p w14:paraId="6784307D" w14:textId="77777777" w:rsidR="000A1AEA" w:rsidRPr="000A1AEA" w:rsidRDefault="000A1AEA" w:rsidP="000A1AEA">
      <w:pPr>
        <w:numPr>
          <w:ilvl w:val="0"/>
          <w:numId w:val="26"/>
        </w:numPr>
        <w:spacing w:after="0" w:line="240" w:lineRule="auto"/>
        <w:jc w:val="both"/>
        <w:rPr>
          <w:rFonts w:cs="Arial"/>
          <w:sz w:val="20"/>
          <w:szCs w:val="20"/>
        </w:rPr>
      </w:pPr>
      <w:r w:rsidRPr="000A1AEA">
        <w:rPr>
          <w:rFonts w:cs="Arial"/>
          <w:sz w:val="20"/>
          <w:szCs w:val="20"/>
        </w:rPr>
        <w:t>the risk component is not explicitly specified in the contract;</w:t>
      </w:r>
    </w:p>
    <w:p w14:paraId="554517D5" w14:textId="77777777" w:rsidR="000A1AEA" w:rsidRPr="000A1AEA" w:rsidRDefault="000A1AEA" w:rsidP="000A1AEA">
      <w:pPr>
        <w:numPr>
          <w:ilvl w:val="0"/>
          <w:numId w:val="26"/>
        </w:numPr>
        <w:spacing w:after="0" w:line="240" w:lineRule="auto"/>
        <w:jc w:val="both"/>
        <w:rPr>
          <w:rFonts w:cs="Arial"/>
          <w:sz w:val="20"/>
          <w:szCs w:val="20"/>
        </w:rPr>
      </w:pPr>
      <w:r w:rsidRPr="000A1AEA">
        <w:rPr>
          <w:rFonts w:cs="Arial"/>
          <w:sz w:val="20"/>
          <w:szCs w:val="20"/>
        </w:rPr>
        <w:t>the pricing formula is influenced by several related variables;</w:t>
      </w:r>
    </w:p>
    <w:p w14:paraId="56B019D9" w14:textId="77777777" w:rsidR="000A1AEA" w:rsidRPr="000A1AEA" w:rsidRDefault="000A1AEA" w:rsidP="000A1AEA">
      <w:pPr>
        <w:numPr>
          <w:ilvl w:val="0"/>
          <w:numId w:val="26"/>
        </w:numPr>
        <w:spacing w:after="0" w:line="240" w:lineRule="auto"/>
        <w:jc w:val="both"/>
        <w:rPr>
          <w:rFonts w:cs="Arial"/>
          <w:sz w:val="20"/>
          <w:szCs w:val="20"/>
        </w:rPr>
      </w:pPr>
      <w:r w:rsidRPr="000A1AEA">
        <w:rPr>
          <w:rFonts w:cs="Arial"/>
          <w:sz w:val="20"/>
          <w:szCs w:val="20"/>
        </w:rPr>
        <w:t>a local purchase price is linked indirectly to an international benchmark;</w:t>
      </w:r>
    </w:p>
    <w:p w14:paraId="3CDC8102" w14:textId="77777777" w:rsidR="000A1AEA" w:rsidRPr="000A1AEA" w:rsidRDefault="000A1AEA" w:rsidP="000A1AEA">
      <w:pPr>
        <w:numPr>
          <w:ilvl w:val="0"/>
          <w:numId w:val="26"/>
        </w:numPr>
        <w:spacing w:after="0" w:line="240" w:lineRule="auto"/>
        <w:jc w:val="both"/>
        <w:rPr>
          <w:rFonts w:cs="Arial"/>
          <w:sz w:val="20"/>
          <w:szCs w:val="20"/>
        </w:rPr>
      </w:pPr>
      <w:r w:rsidRPr="000A1AEA">
        <w:rPr>
          <w:rFonts w:cs="Arial"/>
          <w:sz w:val="20"/>
          <w:szCs w:val="20"/>
        </w:rPr>
        <w:t>freight, location, quality or conversion differentials are present; or</w:t>
      </w:r>
    </w:p>
    <w:p w14:paraId="724E0822" w14:textId="77777777" w:rsidR="000A1AEA" w:rsidRPr="000A1AEA" w:rsidRDefault="000A1AEA" w:rsidP="000A1AEA">
      <w:pPr>
        <w:numPr>
          <w:ilvl w:val="0"/>
          <w:numId w:val="26"/>
        </w:numPr>
        <w:spacing w:after="0" w:line="240" w:lineRule="auto"/>
        <w:jc w:val="both"/>
        <w:rPr>
          <w:rFonts w:cs="Arial"/>
          <w:sz w:val="20"/>
          <w:szCs w:val="20"/>
        </w:rPr>
      </w:pPr>
      <w:r w:rsidRPr="000A1AEA">
        <w:rPr>
          <w:rFonts w:cs="Arial"/>
          <w:sz w:val="20"/>
          <w:szCs w:val="20"/>
        </w:rPr>
        <w:t>the relationship between the benchmark and the final purchase price changes over time.</w:t>
      </w:r>
    </w:p>
    <w:p w14:paraId="76B563DE" w14:textId="77777777" w:rsidR="000A1AEA" w:rsidRDefault="000A1AEA" w:rsidP="000A1AEA">
      <w:pPr>
        <w:spacing w:after="0" w:line="240" w:lineRule="auto"/>
        <w:jc w:val="both"/>
        <w:rPr>
          <w:rFonts w:cs="Arial"/>
          <w:sz w:val="20"/>
          <w:szCs w:val="20"/>
        </w:rPr>
      </w:pPr>
    </w:p>
    <w:p w14:paraId="369AFB76" w14:textId="2913C691" w:rsidR="000A1AEA" w:rsidRPr="000A1AEA" w:rsidRDefault="000A1AEA" w:rsidP="000A1AEA">
      <w:pPr>
        <w:spacing w:after="0" w:line="240" w:lineRule="auto"/>
        <w:jc w:val="both"/>
        <w:rPr>
          <w:rFonts w:cs="Arial"/>
          <w:sz w:val="20"/>
          <w:szCs w:val="20"/>
        </w:rPr>
      </w:pPr>
      <w:r w:rsidRPr="000A1AEA">
        <w:rPr>
          <w:rFonts w:cs="Arial"/>
          <w:sz w:val="20"/>
          <w:szCs w:val="20"/>
        </w:rPr>
        <w:t>Additional examples of non-contractually specified risk components would support consistent application, particularly for commodities purchased in local markets but priced with reference to international benchmarks.</w:t>
      </w:r>
    </w:p>
    <w:p w14:paraId="72ADA220" w14:textId="27C52885" w:rsidR="000A1AEA" w:rsidRPr="000A1AEA" w:rsidRDefault="000A1AEA" w:rsidP="000A1AEA">
      <w:pPr>
        <w:spacing w:after="0" w:line="240" w:lineRule="auto"/>
        <w:jc w:val="both"/>
        <w:rPr>
          <w:rFonts w:cs="Arial"/>
          <w:sz w:val="20"/>
          <w:szCs w:val="20"/>
        </w:rPr>
      </w:pPr>
    </w:p>
    <w:p w14:paraId="0A3191AD"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3. Use of Technology and System Limitations</w:t>
      </w:r>
    </w:p>
    <w:p w14:paraId="7392A51D" w14:textId="77777777" w:rsidR="000A1AEA" w:rsidRDefault="000A1AEA" w:rsidP="000A1AEA">
      <w:pPr>
        <w:spacing w:after="0" w:line="240" w:lineRule="auto"/>
        <w:jc w:val="both"/>
        <w:rPr>
          <w:rFonts w:cs="Arial"/>
          <w:sz w:val="20"/>
          <w:szCs w:val="20"/>
        </w:rPr>
      </w:pPr>
    </w:p>
    <w:p w14:paraId="2AAE4AA1" w14:textId="51B04D4F" w:rsidR="000A1AEA" w:rsidRDefault="000A1AEA" w:rsidP="000A1AEA">
      <w:pPr>
        <w:spacing w:after="0" w:line="240" w:lineRule="auto"/>
        <w:jc w:val="both"/>
        <w:rPr>
          <w:rFonts w:cs="Arial"/>
          <w:sz w:val="20"/>
          <w:szCs w:val="20"/>
        </w:rPr>
      </w:pPr>
      <w:r w:rsidRPr="000A1AEA">
        <w:rPr>
          <w:rFonts w:cs="Arial"/>
          <w:sz w:val="20"/>
          <w:szCs w:val="20"/>
        </w:rPr>
        <w:t>The hedge accounting model assumes that entities can identify and track the relationship between the hedging instrument, hedged item, designated risk and accumulated reserve.</w:t>
      </w:r>
    </w:p>
    <w:p w14:paraId="20E224C1" w14:textId="77777777" w:rsidR="000A1AEA" w:rsidRPr="000A1AEA" w:rsidRDefault="000A1AEA" w:rsidP="000A1AEA">
      <w:pPr>
        <w:spacing w:after="0" w:line="240" w:lineRule="auto"/>
        <w:jc w:val="both"/>
        <w:rPr>
          <w:rFonts w:cs="Arial"/>
          <w:sz w:val="20"/>
          <w:szCs w:val="20"/>
        </w:rPr>
      </w:pPr>
    </w:p>
    <w:p w14:paraId="7B71BF7A" w14:textId="77777777" w:rsidR="000A1AEA" w:rsidRDefault="000A1AEA" w:rsidP="000A1AEA">
      <w:pPr>
        <w:spacing w:after="0" w:line="240" w:lineRule="auto"/>
        <w:jc w:val="both"/>
        <w:rPr>
          <w:rFonts w:cs="Arial"/>
          <w:sz w:val="20"/>
          <w:szCs w:val="20"/>
        </w:rPr>
      </w:pPr>
      <w:r w:rsidRPr="000A1AEA">
        <w:rPr>
          <w:rFonts w:cs="Arial"/>
          <w:sz w:val="20"/>
          <w:szCs w:val="20"/>
        </w:rPr>
        <w:t>In practice, treasury, ERP, valuation and consolidation systems may not be fully integrated. Manual intervention remains common, especially for non-financial entities that do not maintain dedicated hedge accounting systems.</w:t>
      </w:r>
    </w:p>
    <w:p w14:paraId="4ABC057B" w14:textId="77777777" w:rsidR="000A1AEA" w:rsidRPr="000A1AEA" w:rsidRDefault="000A1AEA" w:rsidP="000A1AEA">
      <w:pPr>
        <w:spacing w:after="0" w:line="240" w:lineRule="auto"/>
        <w:jc w:val="both"/>
        <w:rPr>
          <w:rFonts w:cs="Arial"/>
          <w:sz w:val="20"/>
          <w:szCs w:val="20"/>
        </w:rPr>
      </w:pPr>
    </w:p>
    <w:p w14:paraId="55CBA5FA" w14:textId="77777777" w:rsidR="000A1AEA" w:rsidRDefault="000A1AEA" w:rsidP="000A1AEA">
      <w:pPr>
        <w:spacing w:after="0" w:line="240" w:lineRule="auto"/>
        <w:jc w:val="both"/>
        <w:rPr>
          <w:rFonts w:cs="Arial"/>
          <w:sz w:val="20"/>
          <w:szCs w:val="20"/>
        </w:rPr>
      </w:pPr>
      <w:r w:rsidRPr="000A1AEA">
        <w:rPr>
          <w:rFonts w:cs="Arial"/>
          <w:sz w:val="20"/>
          <w:szCs w:val="20"/>
        </w:rPr>
        <w:t>While system limitations should not determine the accounting requirement, the cost-benefit assessment should recognise that some disclosure and tracking requirements result in significant recurring manual effort without a proportionate improvement in financial reporting.</w:t>
      </w:r>
    </w:p>
    <w:p w14:paraId="547044FA" w14:textId="77777777" w:rsidR="000A1AEA" w:rsidRPr="000A1AEA" w:rsidRDefault="000A1AEA" w:rsidP="000A1AEA">
      <w:pPr>
        <w:spacing w:after="0" w:line="240" w:lineRule="auto"/>
        <w:jc w:val="both"/>
        <w:rPr>
          <w:rFonts w:cs="Arial"/>
          <w:sz w:val="20"/>
          <w:szCs w:val="20"/>
        </w:rPr>
      </w:pPr>
    </w:p>
    <w:p w14:paraId="00AB4F00" w14:textId="77777777" w:rsidR="000A1AEA" w:rsidRPr="000A1AEA" w:rsidRDefault="000A1AEA" w:rsidP="000A1AEA">
      <w:pPr>
        <w:spacing w:after="0" w:line="240" w:lineRule="auto"/>
        <w:jc w:val="both"/>
        <w:rPr>
          <w:rFonts w:cs="Arial"/>
          <w:sz w:val="20"/>
          <w:szCs w:val="20"/>
        </w:rPr>
      </w:pPr>
      <w:r w:rsidRPr="000A1AEA">
        <w:rPr>
          <w:rFonts w:cs="Arial"/>
          <w:sz w:val="20"/>
          <w:szCs w:val="20"/>
        </w:rPr>
        <w:t>Consideration should be given to whether reasonable portfolio-level calculations and allocations can be accepted where they achieve a materially similar accounting outcome.</w:t>
      </w:r>
    </w:p>
    <w:p w14:paraId="47026B0C" w14:textId="7213142B" w:rsidR="000A1AEA" w:rsidRDefault="000A1AEA" w:rsidP="000A1AEA">
      <w:pPr>
        <w:spacing w:after="0" w:line="240" w:lineRule="auto"/>
        <w:jc w:val="both"/>
        <w:rPr>
          <w:rFonts w:cs="Arial"/>
          <w:sz w:val="20"/>
          <w:szCs w:val="20"/>
        </w:rPr>
      </w:pPr>
    </w:p>
    <w:p w14:paraId="633A9A01" w14:textId="77777777" w:rsidR="000A1AEA" w:rsidRDefault="000A1AEA" w:rsidP="000A1AEA">
      <w:pPr>
        <w:spacing w:after="0" w:line="240" w:lineRule="auto"/>
        <w:jc w:val="both"/>
        <w:rPr>
          <w:rFonts w:cs="Arial"/>
          <w:sz w:val="20"/>
          <w:szCs w:val="20"/>
        </w:rPr>
      </w:pPr>
    </w:p>
    <w:p w14:paraId="42D1801B" w14:textId="77777777" w:rsidR="000A1AEA" w:rsidRDefault="000A1AEA" w:rsidP="000A1AEA">
      <w:pPr>
        <w:spacing w:after="0" w:line="240" w:lineRule="auto"/>
        <w:jc w:val="both"/>
        <w:rPr>
          <w:rFonts w:cs="Arial"/>
          <w:b/>
          <w:bCs/>
          <w:sz w:val="20"/>
          <w:szCs w:val="20"/>
        </w:rPr>
      </w:pPr>
      <w:r w:rsidRPr="000A1AEA">
        <w:rPr>
          <w:rFonts w:cs="Arial"/>
          <w:b/>
          <w:bCs/>
          <w:sz w:val="20"/>
          <w:szCs w:val="20"/>
        </w:rPr>
        <w:lastRenderedPageBreak/>
        <w:t>4. Relationship Between Risk Management and Accounting Designation</w:t>
      </w:r>
    </w:p>
    <w:p w14:paraId="67AD043D" w14:textId="77777777" w:rsidR="000A1AEA" w:rsidRPr="000A1AEA" w:rsidRDefault="000A1AEA" w:rsidP="000A1AEA">
      <w:pPr>
        <w:spacing w:after="0" w:line="240" w:lineRule="auto"/>
        <w:jc w:val="both"/>
        <w:rPr>
          <w:rFonts w:cs="Arial"/>
          <w:b/>
          <w:bCs/>
          <w:sz w:val="20"/>
          <w:szCs w:val="20"/>
        </w:rPr>
      </w:pPr>
    </w:p>
    <w:p w14:paraId="7A2C5B74" w14:textId="77777777" w:rsidR="000A1AEA" w:rsidRDefault="000A1AEA" w:rsidP="000A1AEA">
      <w:pPr>
        <w:spacing w:after="0" w:line="240" w:lineRule="auto"/>
        <w:jc w:val="both"/>
        <w:rPr>
          <w:rFonts w:cs="Arial"/>
          <w:sz w:val="20"/>
          <w:szCs w:val="20"/>
        </w:rPr>
      </w:pPr>
      <w:r w:rsidRPr="000A1AEA">
        <w:rPr>
          <w:rFonts w:cs="Arial"/>
          <w:sz w:val="20"/>
          <w:szCs w:val="20"/>
        </w:rPr>
        <w:t>The effectiveness of the IFRS 9 model depends on a clear relationship between the actual risk management objective and the accounting designation.</w:t>
      </w:r>
    </w:p>
    <w:p w14:paraId="586FAECB" w14:textId="77777777" w:rsidR="000A1AEA" w:rsidRPr="000A1AEA" w:rsidRDefault="000A1AEA" w:rsidP="000A1AEA">
      <w:pPr>
        <w:spacing w:after="0" w:line="240" w:lineRule="auto"/>
        <w:jc w:val="both"/>
        <w:rPr>
          <w:rFonts w:cs="Arial"/>
          <w:sz w:val="20"/>
          <w:szCs w:val="20"/>
        </w:rPr>
      </w:pPr>
    </w:p>
    <w:p w14:paraId="12BD7491" w14:textId="77777777" w:rsidR="000A1AEA" w:rsidRDefault="000A1AEA" w:rsidP="000A1AEA">
      <w:pPr>
        <w:spacing w:after="0" w:line="240" w:lineRule="auto"/>
        <w:jc w:val="both"/>
        <w:rPr>
          <w:rFonts w:cs="Arial"/>
          <w:sz w:val="20"/>
          <w:szCs w:val="20"/>
        </w:rPr>
      </w:pPr>
      <w:r w:rsidRPr="000A1AEA">
        <w:rPr>
          <w:rFonts w:cs="Arial"/>
          <w:sz w:val="20"/>
          <w:szCs w:val="20"/>
        </w:rPr>
        <w:t xml:space="preserve">Entities may manage risk at a broader portfolio level while designating individual hedge relationships for accounting purposes. Differences in the unit of account used for treasury management and financial reporting can create complexity and may result in accounting designations that do not fully portray the </w:t>
      </w:r>
      <w:proofErr w:type="gramStart"/>
      <w:r w:rsidRPr="000A1AEA">
        <w:rPr>
          <w:rFonts w:cs="Arial"/>
          <w:sz w:val="20"/>
          <w:szCs w:val="20"/>
        </w:rPr>
        <w:t>manner in which</w:t>
      </w:r>
      <w:proofErr w:type="gramEnd"/>
      <w:r w:rsidRPr="000A1AEA">
        <w:rPr>
          <w:rFonts w:cs="Arial"/>
          <w:sz w:val="20"/>
          <w:szCs w:val="20"/>
        </w:rPr>
        <w:t xml:space="preserve"> management views the exposure.</w:t>
      </w:r>
    </w:p>
    <w:p w14:paraId="1F5B0BD5" w14:textId="77777777" w:rsidR="000A1AEA" w:rsidRPr="000A1AEA" w:rsidRDefault="000A1AEA" w:rsidP="000A1AEA">
      <w:pPr>
        <w:spacing w:after="0" w:line="240" w:lineRule="auto"/>
        <w:jc w:val="both"/>
        <w:rPr>
          <w:rFonts w:cs="Arial"/>
          <w:sz w:val="20"/>
          <w:szCs w:val="20"/>
        </w:rPr>
      </w:pPr>
    </w:p>
    <w:p w14:paraId="092DA93C" w14:textId="77777777" w:rsidR="000A1AEA" w:rsidRPr="000A1AEA" w:rsidRDefault="000A1AEA" w:rsidP="000A1AEA">
      <w:pPr>
        <w:spacing w:after="0" w:line="240" w:lineRule="auto"/>
        <w:jc w:val="both"/>
        <w:rPr>
          <w:rFonts w:cs="Arial"/>
          <w:sz w:val="20"/>
          <w:szCs w:val="20"/>
        </w:rPr>
      </w:pPr>
      <w:r w:rsidRPr="000A1AEA">
        <w:rPr>
          <w:rFonts w:cs="Arial"/>
          <w:sz w:val="20"/>
          <w:szCs w:val="20"/>
        </w:rPr>
        <w:t>Further guidance on portfolio-based designation and centralised treasury arrangements could improve the alignment between accounting and risk management.</w:t>
      </w:r>
    </w:p>
    <w:p w14:paraId="37C20C02" w14:textId="02E1B7A2" w:rsidR="000A1AEA" w:rsidRPr="000A1AEA" w:rsidRDefault="000A1AEA" w:rsidP="000A1AEA">
      <w:pPr>
        <w:spacing w:after="0" w:line="240" w:lineRule="auto"/>
        <w:jc w:val="both"/>
        <w:rPr>
          <w:rFonts w:cs="Arial"/>
          <w:sz w:val="20"/>
          <w:szCs w:val="20"/>
        </w:rPr>
      </w:pPr>
    </w:p>
    <w:p w14:paraId="2A537ED2"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5. Proportionality for Non-financial Entities</w:t>
      </w:r>
    </w:p>
    <w:p w14:paraId="66877736" w14:textId="77777777" w:rsidR="000A1AEA" w:rsidRDefault="000A1AEA" w:rsidP="000A1AEA">
      <w:pPr>
        <w:spacing w:after="0" w:line="240" w:lineRule="auto"/>
        <w:jc w:val="both"/>
        <w:rPr>
          <w:rFonts w:cs="Arial"/>
          <w:sz w:val="20"/>
          <w:szCs w:val="20"/>
        </w:rPr>
      </w:pPr>
    </w:p>
    <w:p w14:paraId="60350CD0" w14:textId="284E7FBE" w:rsidR="000A1AEA" w:rsidRDefault="000A1AEA" w:rsidP="000A1AEA">
      <w:pPr>
        <w:spacing w:after="0" w:line="240" w:lineRule="auto"/>
        <w:jc w:val="both"/>
        <w:rPr>
          <w:rFonts w:cs="Arial"/>
          <w:sz w:val="20"/>
          <w:szCs w:val="20"/>
        </w:rPr>
      </w:pPr>
      <w:r w:rsidRPr="000A1AEA">
        <w:rPr>
          <w:rFonts w:cs="Arial"/>
          <w:sz w:val="20"/>
          <w:szCs w:val="20"/>
        </w:rPr>
        <w:t xml:space="preserve">The same hedge accounting principles apply to entities with sophisticated treasury operations and to entities </w:t>
      </w:r>
      <w:proofErr w:type="gramStart"/>
      <w:r w:rsidRPr="000A1AEA">
        <w:rPr>
          <w:rFonts w:cs="Arial"/>
          <w:sz w:val="20"/>
          <w:szCs w:val="20"/>
        </w:rPr>
        <w:t>entering into</w:t>
      </w:r>
      <w:proofErr w:type="gramEnd"/>
      <w:r w:rsidRPr="000A1AEA">
        <w:rPr>
          <w:rFonts w:cs="Arial"/>
          <w:sz w:val="20"/>
          <w:szCs w:val="20"/>
        </w:rPr>
        <w:t xml:space="preserve"> a limited number of straightforward hedging transactions.</w:t>
      </w:r>
    </w:p>
    <w:p w14:paraId="5D7D2AB9" w14:textId="77777777" w:rsidR="000A1AEA" w:rsidRPr="000A1AEA" w:rsidRDefault="000A1AEA" w:rsidP="000A1AEA">
      <w:pPr>
        <w:spacing w:after="0" w:line="240" w:lineRule="auto"/>
        <w:jc w:val="both"/>
        <w:rPr>
          <w:rFonts w:cs="Arial"/>
          <w:sz w:val="20"/>
          <w:szCs w:val="20"/>
        </w:rPr>
      </w:pPr>
    </w:p>
    <w:p w14:paraId="6E396F30" w14:textId="77777777" w:rsidR="000A1AEA" w:rsidRDefault="000A1AEA" w:rsidP="000A1AEA">
      <w:pPr>
        <w:spacing w:after="0" w:line="240" w:lineRule="auto"/>
        <w:jc w:val="both"/>
        <w:rPr>
          <w:rFonts w:cs="Arial"/>
          <w:sz w:val="20"/>
          <w:szCs w:val="20"/>
        </w:rPr>
      </w:pPr>
      <w:r w:rsidRPr="000A1AEA">
        <w:rPr>
          <w:rFonts w:cs="Arial"/>
          <w:sz w:val="20"/>
          <w:szCs w:val="20"/>
        </w:rPr>
        <w:t>The fundamental recognition and measurement principles should remain consistent. However, the supporting documentation, effectiveness assessment and disclosures could be made more proportionate for simple hedge relationships whose critical terms closely match.</w:t>
      </w:r>
    </w:p>
    <w:p w14:paraId="235085C2" w14:textId="77777777" w:rsidR="000A1AEA" w:rsidRPr="000A1AEA" w:rsidRDefault="000A1AEA" w:rsidP="000A1AEA">
      <w:pPr>
        <w:spacing w:after="0" w:line="240" w:lineRule="auto"/>
        <w:jc w:val="both"/>
        <w:rPr>
          <w:rFonts w:cs="Arial"/>
          <w:sz w:val="20"/>
          <w:szCs w:val="20"/>
        </w:rPr>
      </w:pPr>
    </w:p>
    <w:p w14:paraId="2C6B664C" w14:textId="77777777" w:rsidR="000A1AEA" w:rsidRPr="000A1AEA" w:rsidRDefault="000A1AEA" w:rsidP="000A1AEA">
      <w:pPr>
        <w:spacing w:after="0" w:line="240" w:lineRule="auto"/>
        <w:jc w:val="both"/>
        <w:rPr>
          <w:rFonts w:cs="Arial"/>
          <w:sz w:val="20"/>
          <w:szCs w:val="20"/>
        </w:rPr>
      </w:pPr>
      <w:r w:rsidRPr="000A1AEA">
        <w:rPr>
          <w:rFonts w:cs="Arial"/>
          <w:sz w:val="20"/>
          <w:szCs w:val="20"/>
        </w:rPr>
        <w:t>A proportionate framework should not provide an accounting exemption. It should permit a simpler method of demonstrating compliance where the nature of the instrument and exposure does not justify complex modelling.</w:t>
      </w:r>
    </w:p>
    <w:p w14:paraId="2F402DC7" w14:textId="63282CFB" w:rsidR="000A1AEA" w:rsidRDefault="000A1AEA" w:rsidP="000A1AEA">
      <w:pPr>
        <w:spacing w:after="0" w:line="240" w:lineRule="auto"/>
        <w:jc w:val="both"/>
        <w:rPr>
          <w:rFonts w:cs="Arial"/>
          <w:sz w:val="20"/>
          <w:szCs w:val="20"/>
        </w:rPr>
      </w:pPr>
    </w:p>
    <w:p w14:paraId="522A524E" w14:textId="77777777" w:rsidR="000A1AEA" w:rsidRPr="000A1AEA" w:rsidRDefault="000A1AEA" w:rsidP="000A1AEA">
      <w:pPr>
        <w:spacing w:after="0" w:line="240" w:lineRule="auto"/>
        <w:jc w:val="both"/>
        <w:rPr>
          <w:rFonts w:cs="Arial"/>
          <w:sz w:val="20"/>
          <w:szCs w:val="20"/>
        </w:rPr>
      </w:pPr>
    </w:p>
    <w:p w14:paraId="4C28FFA9" w14:textId="77777777" w:rsidR="000A1AEA" w:rsidRPr="000A1AEA" w:rsidRDefault="000A1AEA" w:rsidP="000A1AEA">
      <w:pPr>
        <w:spacing w:after="0" w:line="240" w:lineRule="auto"/>
        <w:jc w:val="both"/>
        <w:rPr>
          <w:rFonts w:cs="Arial"/>
          <w:b/>
          <w:bCs/>
          <w:sz w:val="20"/>
          <w:szCs w:val="20"/>
        </w:rPr>
      </w:pPr>
      <w:r w:rsidRPr="000A1AEA">
        <w:rPr>
          <w:rFonts w:cs="Arial"/>
          <w:b/>
          <w:bCs/>
          <w:sz w:val="20"/>
          <w:szCs w:val="20"/>
        </w:rPr>
        <w:t>OVERALL CONCLUSION</w:t>
      </w:r>
    </w:p>
    <w:p w14:paraId="0A828E64" w14:textId="77777777" w:rsidR="000A1AEA" w:rsidRDefault="000A1AEA" w:rsidP="000A1AEA">
      <w:pPr>
        <w:spacing w:after="0" w:line="240" w:lineRule="auto"/>
        <w:jc w:val="both"/>
        <w:rPr>
          <w:rFonts w:cs="Arial"/>
          <w:sz w:val="20"/>
          <w:szCs w:val="20"/>
        </w:rPr>
      </w:pPr>
    </w:p>
    <w:p w14:paraId="5BE4E476" w14:textId="3CA469FB" w:rsidR="000A1AEA" w:rsidRDefault="000A1AEA" w:rsidP="000A1AEA">
      <w:pPr>
        <w:spacing w:after="0" w:line="240" w:lineRule="auto"/>
        <w:jc w:val="both"/>
        <w:rPr>
          <w:rFonts w:cs="Arial"/>
          <w:sz w:val="20"/>
          <w:szCs w:val="20"/>
        </w:rPr>
      </w:pPr>
      <w:r w:rsidRPr="000A1AEA">
        <w:rPr>
          <w:rFonts w:cs="Arial"/>
          <w:sz w:val="20"/>
          <w:szCs w:val="20"/>
        </w:rPr>
        <w:t>IFRS 9 has substantially improved the conceptual basis of hedge accounting and has brought the accounting treatment closer to actual risk management activities. The removal of the 80% to 125% effectiveness threshold, the ability to designate additional hedged items and risk components, and the introduction of the cost of hedging approach represent important improvements over IAS 39.</w:t>
      </w:r>
    </w:p>
    <w:p w14:paraId="23FC337C" w14:textId="77777777" w:rsidR="000A1AEA" w:rsidRPr="000A1AEA" w:rsidRDefault="000A1AEA" w:rsidP="000A1AEA">
      <w:pPr>
        <w:spacing w:after="0" w:line="240" w:lineRule="auto"/>
        <w:jc w:val="both"/>
        <w:rPr>
          <w:rFonts w:cs="Arial"/>
          <w:sz w:val="20"/>
          <w:szCs w:val="20"/>
        </w:rPr>
      </w:pPr>
    </w:p>
    <w:p w14:paraId="771D7C8C" w14:textId="77777777" w:rsidR="000A1AEA" w:rsidRDefault="000A1AEA" w:rsidP="000A1AEA">
      <w:pPr>
        <w:spacing w:after="0" w:line="240" w:lineRule="auto"/>
        <w:jc w:val="both"/>
        <w:rPr>
          <w:rFonts w:cs="Arial"/>
          <w:sz w:val="20"/>
          <w:szCs w:val="20"/>
        </w:rPr>
      </w:pPr>
      <w:r w:rsidRPr="000A1AEA">
        <w:rPr>
          <w:rFonts w:cs="Arial"/>
          <w:sz w:val="20"/>
          <w:szCs w:val="20"/>
        </w:rPr>
        <w:t>However, the reduction in implementation and audit cost has not been uniform. In several areas, a rule-based requirement has been replaced by a judgement-based requirement that still requires extensive documentation, valuation support and audit evaluation.</w:t>
      </w:r>
    </w:p>
    <w:p w14:paraId="1BCF7D8B" w14:textId="77777777" w:rsidR="000A1AEA" w:rsidRPr="000A1AEA" w:rsidRDefault="000A1AEA" w:rsidP="000A1AEA">
      <w:pPr>
        <w:spacing w:after="0" w:line="240" w:lineRule="auto"/>
        <w:jc w:val="both"/>
        <w:rPr>
          <w:rFonts w:cs="Arial"/>
          <w:sz w:val="20"/>
          <w:szCs w:val="20"/>
        </w:rPr>
      </w:pPr>
    </w:p>
    <w:p w14:paraId="41400676" w14:textId="77777777" w:rsidR="000A1AEA" w:rsidRPr="000A1AEA" w:rsidRDefault="000A1AEA" w:rsidP="000A1AEA">
      <w:pPr>
        <w:spacing w:after="0" w:line="240" w:lineRule="auto"/>
        <w:jc w:val="both"/>
        <w:rPr>
          <w:rFonts w:cs="Arial"/>
          <w:sz w:val="20"/>
          <w:szCs w:val="20"/>
        </w:rPr>
      </w:pPr>
      <w:r w:rsidRPr="000A1AEA">
        <w:rPr>
          <w:rFonts w:cs="Arial"/>
          <w:sz w:val="20"/>
          <w:szCs w:val="20"/>
        </w:rPr>
        <w:t>The principal areas that merit further attention are:</w:t>
      </w:r>
    </w:p>
    <w:p w14:paraId="5044C398"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application of the highly probable criterion to forecast transactions;</w:t>
      </w:r>
    </w:p>
    <w:p w14:paraId="7910792E"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proportionality of hedge documentation and ongoing assessment;</w:t>
      </w:r>
    </w:p>
    <w:p w14:paraId="0805C72F"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determination of an economic relationship and the effect of credit risk;</w:t>
      </w:r>
    </w:p>
    <w:p w14:paraId="60B71816"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operational complexity of the cost of hedging;</w:t>
      </w:r>
    </w:p>
    <w:p w14:paraId="6B23DECE"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limited practical use of rebalancing;</w:t>
      </w:r>
    </w:p>
    <w:p w14:paraId="5A27645E"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distinction between rebalancing and discontinuation;</w:t>
      </w:r>
    </w:p>
    <w:p w14:paraId="34425AC4"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tracking and allocation of basis adjustments;</w:t>
      </w:r>
    </w:p>
    <w:p w14:paraId="70A0EB44"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hedge accounting for groups, net positions and portfolio-managed exposures;</w:t>
      </w:r>
    </w:p>
    <w:p w14:paraId="686E7647"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disclosure volume and duplication under IFRS 7; and</w:t>
      </w:r>
    </w:p>
    <w:p w14:paraId="70BC7541" w14:textId="77777777" w:rsidR="000A1AEA" w:rsidRPr="000A1AEA" w:rsidRDefault="000A1AEA" w:rsidP="000A1AEA">
      <w:pPr>
        <w:numPr>
          <w:ilvl w:val="0"/>
          <w:numId w:val="27"/>
        </w:numPr>
        <w:spacing w:after="0" w:line="240" w:lineRule="auto"/>
        <w:jc w:val="both"/>
        <w:rPr>
          <w:rFonts w:cs="Arial"/>
          <w:sz w:val="20"/>
          <w:szCs w:val="20"/>
        </w:rPr>
      </w:pPr>
      <w:r w:rsidRPr="000A1AEA">
        <w:rPr>
          <w:rFonts w:cs="Arial"/>
          <w:sz w:val="20"/>
          <w:szCs w:val="20"/>
        </w:rPr>
        <w:t>transition considerations before the withdrawal of IAS 39.</w:t>
      </w:r>
    </w:p>
    <w:p w14:paraId="39AA85F9" w14:textId="77777777" w:rsidR="000A1AEA" w:rsidRDefault="000A1AEA" w:rsidP="000A1AEA">
      <w:pPr>
        <w:spacing w:after="0" w:line="240" w:lineRule="auto"/>
        <w:jc w:val="both"/>
        <w:rPr>
          <w:rFonts w:cs="Arial"/>
          <w:sz w:val="20"/>
          <w:szCs w:val="20"/>
        </w:rPr>
      </w:pPr>
    </w:p>
    <w:p w14:paraId="08EB3B4C" w14:textId="5D6130FB" w:rsidR="000A1AEA" w:rsidRDefault="008C74A4" w:rsidP="000A1AEA">
      <w:pPr>
        <w:spacing w:after="0" w:line="240" w:lineRule="auto"/>
        <w:jc w:val="both"/>
        <w:rPr>
          <w:rFonts w:cs="Arial"/>
          <w:sz w:val="20"/>
          <w:szCs w:val="20"/>
        </w:rPr>
      </w:pPr>
      <w:r>
        <w:rPr>
          <w:rFonts w:cs="Arial"/>
          <w:sz w:val="20"/>
          <w:szCs w:val="20"/>
        </w:rPr>
        <w:t xml:space="preserve">I </w:t>
      </w:r>
      <w:r w:rsidR="000A1AEA" w:rsidRPr="000A1AEA">
        <w:rPr>
          <w:rFonts w:cs="Arial"/>
          <w:sz w:val="20"/>
          <w:szCs w:val="20"/>
        </w:rPr>
        <w:t>do not consider that these matters require a fundamental redesign of the IFRS 9 hedge accounting model. The existing model is broadly workable and conceptually appropriate. The immediate priority should be to provide targeted application guidance, practical illustrations and proportionate simplifications in areas where significant diversity, recurring manual effort or avoidable audit complexity continues to arise.</w:t>
      </w:r>
    </w:p>
    <w:p w14:paraId="54000287" w14:textId="77777777" w:rsidR="000A1AEA" w:rsidRPr="000A1AEA" w:rsidRDefault="000A1AEA" w:rsidP="000A1AEA">
      <w:pPr>
        <w:spacing w:after="0" w:line="240" w:lineRule="auto"/>
        <w:jc w:val="both"/>
        <w:rPr>
          <w:rFonts w:cs="Arial"/>
          <w:sz w:val="20"/>
          <w:szCs w:val="20"/>
        </w:rPr>
      </w:pPr>
    </w:p>
    <w:p w14:paraId="434E8FAD" w14:textId="77777777" w:rsidR="000A1AEA" w:rsidRDefault="000A1AEA" w:rsidP="000A1AEA">
      <w:pPr>
        <w:spacing w:after="0" w:line="240" w:lineRule="auto"/>
        <w:jc w:val="both"/>
        <w:rPr>
          <w:rFonts w:cs="Arial"/>
          <w:sz w:val="20"/>
          <w:szCs w:val="20"/>
        </w:rPr>
      </w:pPr>
      <w:r w:rsidRPr="000A1AEA">
        <w:rPr>
          <w:rFonts w:cs="Arial"/>
          <w:sz w:val="20"/>
          <w:szCs w:val="20"/>
        </w:rPr>
        <w:t>Any simplification should preserve the fundamental safeguards of hedge accounting, particularly the requirement that the accounting designation should reflect an actual and documented risk management relationship. At the same time, the requirements should not be so operationally burdensome that entities elect not to apply hedge accounting to genuine economic hedges.</w:t>
      </w:r>
    </w:p>
    <w:p w14:paraId="37EABB1C" w14:textId="77777777" w:rsidR="000A1AEA" w:rsidRDefault="000A1AEA" w:rsidP="000A1AEA">
      <w:pPr>
        <w:spacing w:after="0" w:line="240" w:lineRule="auto"/>
        <w:jc w:val="both"/>
        <w:rPr>
          <w:rFonts w:cs="Arial"/>
          <w:sz w:val="20"/>
          <w:szCs w:val="20"/>
        </w:rPr>
      </w:pPr>
      <w:r w:rsidRPr="000A1AEA">
        <w:rPr>
          <w:rFonts w:cs="Arial"/>
          <w:sz w:val="20"/>
          <w:szCs w:val="20"/>
        </w:rPr>
        <w:lastRenderedPageBreak/>
        <w:t>For IFRS 7, the focus should be on improving the quality, relevance and entity-specific nature of disclosures rather than increasing the volume of information. Users are likely to benefit more from a concise explanation of the risk being managed, the purpose and duration of the hedge, material changes during the period and the resulting financial statement effect than from additional standardised tables lacking commercial context.</w:t>
      </w:r>
    </w:p>
    <w:p w14:paraId="50BF8DE2" w14:textId="77777777" w:rsidR="000A1AEA" w:rsidRPr="000A1AEA" w:rsidRDefault="000A1AEA" w:rsidP="000A1AEA">
      <w:pPr>
        <w:spacing w:after="0" w:line="240" w:lineRule="auto"/>
        <w:jc w:val="both"/>
        <w:rPr>
          <w:rFonts w:cs="Arial"/>
          <w:sz w:val="20"/>
          <w:szCs w:val="20"/>
        </w:rPr>
      </w:pPr>
    </w:p>
    <w:p w14:paraId="43190427" w14:textId="5B7E0658" w:rsidR="000A1AEA" w:rsidRPr="000A1AEA" w:rsidRDefault="000A1AEA" w:rsidP="000A1AEA">
      <w:pPr>
        <w:spacing w:after="0" w:line="240" w:lineRule="auto"/>
        <w:jc w:val="both"/>
        <w:rPr>
          <w:rFonts w:cs="Arial"/>
          <w:sz w:val="20"/>
          <w:szCs w:val="20"/>
        </w:rPr>
      </w:pPr>
      <w:r w:rsidRPr="000A1AEA">
        <w:rPr>
          <w:rFonts w:cs="Arial"/>
          <w:sz w:val="20"/>
          <w:szCs w:val="20"/>
        </w:rPr>
        <w:t xml:space="preserve">Subject to the above matters, </w:t>
      </w:r>
      <w:r w:rsidR="008C74A4">
        <w:rPr>
          <w:rFonts w:cs="Arial"/>
          <w:sz w:val="20"/>
          <w:szCs w:val="20"/>
        </w:rPr>
        <w:t xml:space="preserve">I </w:t>
      </w:r>
      <w:r w:rsidRPr="000A1AEA">
        <w:rPr>
          <w:rFonts w:cs="Arial"/>
          <w:sz w:val="20"/>
          <w:szCs w:val="20"/>
        </w:rPr>
        <w:t>believe that the hedge accounting requirements in IFRS 9 and the related disclosure requirements in IFRS 7 are broadly operating as intended.</w:t>
      </w:r>
    </w:p>
    <w:p w14:paraId="31C123FC" w14:textId="5FB3064B" w:rsidR="000A1AEA" w:rsidRPr="000A1AEA" w:rsidRDefault="000A1AEA" w:rsidP="000A1AEA">
      <w:pPr>
        <w:spacing w:after="0" w:line="240" w:lineRule="auto"/>
        <w:jc w:val="both"/>
        <w:rPr>
          <w:rFonts w:cs="Arial"/>
          <w:sz w:val="20"/>
          <w:szCs w:val="20"/>
        </w:rPr>
      </w:pPr>
    </w:p>
    <w:p w14:paraId="526889EF" w14:textId="77777777" w:rsidR="000A1AEA" w:rsidRDefault="000A1AEA" w:rsidP="000A1AEA">
      <w:pPr>
        <w:spacing w:after="0" w:line="240" w:lineRule="auto"/>
        <w:jc w:val="both"/>
        <w:rPr>
          <w:rFonts w:cs="Arial"/>
          <w:b/>
          <w:bCs/>
          <w:sz w:val="20"/>
          <w:szCs w:val="20"/>
        </w:rPr>
      </w:pPr>
      <w:r w:rsidRPr="000A1AEA">
        <w:rPr>
          <w:rFonts w:cs="Arial"/>
          <w:b/>
          <w:bCs/>
          <w:sz w:val="20"/>
          <w:szCs w:val="20"/>
        </w:rPr>
        <w:t>Submitted by:</w:t>
      </w:r>
    </w:p>
    <w:p w14:paraId="50117E5B" w14:textId="77777777" w:rsidR="000A1AEA" w:rsidRDefault="000A1AEA" w:rsidP="000A1AEA">
      <w:pPr>
        <w:spacing w:after="0" w:line="240" w:lineRule="auto"/>
        <w:jc w:val="both"/>
        <w:rPr>
          <w:rFonts w:cs="Arial"/>
          <w:sz w:val="20"/>
          <w:szCs w:val="20"/>
        </w:rPr>
      </w:pPr>
      <w:r w:rsidRPr="000A1AEA">
        <w:rPr>
          <w:rFonts w:cs="Arial"/>
          <w:sz w:val="20"/>
          <w:szCs w:val="20"/>
        </w:rPr>
        <w:br/>
      </w:r>
      <w:r w:rsidRPr="000A1AEA">
        <w:rPr>
          <w:rFonts w:cs="Arial"/>
          <w:b/>
          <w:bCs/>
          <w:sz w:val="20"/>
          <w:szCs w:val="20"/>
        </w:rPr>
        <w:t>Name:</w:t>
      </w:r>
      <w:r w:rsidRPr="000A1AEA">
        <w:rPr>
          <w:rFonts w:cs="Arial"/>
          <w:sz w:val="20"/>
          <w:szCs w:val="20"/>
        </w:rPr>
        <w:t xml:space="preserve"> CA Anand Agrawal</w:t>
      </w:r>
    </w:p>
    <w:p w14:paraId="2DF7EC35" w14:textId="699E099A" w:rsidR="000A1AEA" w:rsidRDefault="000A1AEA" w:rsidP="000A1AEA">
      <w:pPr>
        <w:spacing w:after="0" w:line="240" w:lineRule="auto"/>
        <w:jc w:val="both"/>
        <w:rPr>
          <w:rFonts w:cs="Arial"/>
          <w:sz w:val="20"/>
          <w:szCs w:val="20"/>
        </w:rPr>
      </w:pPr>
      <w:r w:rsidRPr="000A1AEA">
        <w:rPr>
          <w:rFonts w:cs="Arial"/>
          <w:sz w:val="20"/>
          <w:szCs w:val="20"/>
        </w:rPr>
        <w:br/>
      </w:r>
      <w:r w:rsidRPr="000A1AEA">
        <w:rPr>
          <w:rFonts w:cs="Arial"/>
          <w:b/>
          <w:bCs/>
          <w:sz w:val="20"/>
          <w:szCs w:val="20"/>
        </w:rPr>
        <w:t>Membership No.:</w:t>
      </w:r>
      <w:r w:rsidRPr="000A1AEA">
        <w:rPr>
          <w:rFonts w:cs="Arial"/>
          <w:sz w:val="20"/>
          <w:szCs w:val="20"/>
        </w:rPr>
        <w:t xml:space="preserve"> </w:t>
      </w:r>
      <w:r>
        <w:rPr>
          <w:rFonts w:cs="Arial"/>
          <w:sz w:val="20"/>
          <w:szCs w:val="20"/>
        </w:rPr>
        <w:t>610210</w:t>
      </w:r>
    </w:p>
    <w:p w14:paraId="2DB9E5F6" w14:textId="77777777" w:rsidR="003C39A3" w:rsidRPr="000A1AEA" w:rsidRDefault="003C39A3" w:rsidP="000A1AEA">
      <w:pPr>
        <w:spacing w:after="0" w:line="240" w:lineRule="auto"/>
        <w:jc w:val="both"/>
        <w:rPr>
          <w:rFonts w:cs="Arial"/>
          <w:sz w:val="20"/>
          <w:szCs w:val="20"/>
        </w:rPr>
      </w:pPr>
    </w:p>
    <w:sectPr w:rsidR="003C39A3" w:rsidRPr="000A1AEA" w:rsidSect="000A1AEA">
      <w:pgSz w:w="11906" w:h="16838"/>
      <w:pgMar w:top="1440" w:right="720" w:bottom="720"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hruti">
    <w:panose1 w:val="020B0502040204020203"/>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7D9D"/>
    <w:multiLevelType w:val="multilevel"/>
    <w:tmpl w:val="625C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2265"/>
    <w:multiLevelType w:val="multilevel"/>
    <w:tmpl w:val="5D34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C2BF0"/>
    <w:multiLevelType w:val="multilevel"/>
    <w:tmpl w:val="9DF2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74F28"/>
    <w:multiLevelType w:val="multilevel"/>
    <w:tmpl w:val="08AA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012A8"/>
    <w:multiLevelType w:val="multilevel"/>
    <w:tmpl w:val="E5C0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C0BB4"/>
    <w:multiLevelType w:val="multilevel"/>
    <w:tmpl w:val="59C2F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D5879"/>
    <w:multiLevelType w:val="multilevel"/>
    <w:tmpl w:val="E0164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30BCD"/>
    <w:multiLevelType w:val="multilevel"/>
    <w:tmpl w:val="F834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12727C"/>
    <w:multiLevelType w:val="multilevel"/>
    <w:tmpl w:val="A658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143FF"/>
    <w:multiLevelType w:val="multilevel"/>
    <w:tmpl w:val="C442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605718"/>
    <w:multiLevelType w:val="multilevel"/>
    <w:tmpl w:val="E74A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4F26EF"/>
    <w:multiLevelType w:val="multilevel"/>
    <w:tmpl w:val="C306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B63256"/>
    <w:multiLevelType w:val="multilevel"/>
    <w:tmpl w:val="B5B8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312361"/>
    <w:multiLevelType w:val="multilevel"/>
    <w:tmpl w:val="D5D4B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E55C62"/>
    <w:multiLevelType w:val="multilevel"/>
    <w:tmpl w:val="D2A0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0D34E4"/>
    <w:multiLevelType w:val="multilevel"/>
    <w:tmpl w:val="BB5C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943FA"/>
    <w:multiLevelType w:val="multilevel"/>
    <w:tmpl w:val="166C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9717DB"/>
    <w:multiLevelType w:val="multilevel"/>
    <w:tmpl w:val="BC44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496407"/>
    <w:multiLevelType w:val="multilevel"/>
    <w:tmpl w:val="365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E14C76"/>
    <w:multiLevelType w:val="multilevel"/>
    <w:tmpl w:val="3218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01BB2"/>
    <w:multiLevelType w:val="multilevel"/>
    <w:tmpl w:val="869C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7400C1"/>
    <w:multiLevelType w:val="multilevel"/>
    <w:tmpl w:val="56EE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BA4E27"/>
    <w:multiLevelType w:val="multilevel"/>
    <w:tmpl w:val="CE90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4C3E61"/>
    <w:multiLevelType w:val="multilevel"/>
    <w:tmpl w:val="AF42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8804E4"/>
    <w:multiLevelType w:val="multilevel"/>
    <w:tmpl w:val="C312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073E14"/>
    <w:multiLevelType w:val="multilevel"/>
    <w:tmpl w:val="AF641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E877E1"/>
    <w:multiLevelType w:val="multilevel"/>
    <w:tmpl w:val="9EEE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47697">
    <w:abstractNumId w:val="2"/>
  </w:num>
  <w:num w:numId="2" w16cid:durableId="312099562">
    <w:abstractNumId w:val="13"/>
  </w:num>
  <w:num w:numId="3" w16cid:durableId="151526464">
    <w:abstractNumId w:val="15"/>
  </w:num>
  <w:num w:numId="4" w16cid:durableId="1464273802">
    <w:abstractNumId w:val="0"/>
  </w:num>
  <w:num w:numId="5" w16cid:durableId="681977735">
    <w:abstractNumId w:val="22"/>
  </w:num>
  <w:num w:numId="6" w16cid:durableId="488326021">
    <w:abstractNumId w:val="5"/>
  </w:num>
  <w:num w:numId="7" w16cid:durableId="211581535">
    <w:abstractNumId w:val="6"/>
  </w:num>
  <w:num w:numId="8" w16cid:durableId="1362894640">
    <w:abstractNumId w:val="18"/>
  </w:num>
  <w:num w:numId="9" w16cid:durableId="1248685359">
    <w:abstractNumId w:val="8"/>
  </w:num>
  <w:num w:numId="10" w16cid:durableId="278609611">
    <w:abstractNumId w:val="21"/>
  </w:num>
  <w:num w:numId="11" w16cid:durableId="1235622866">
    <w:abstractNumId w:val="12"/>
  </w:num>
  <w:num w:numId="12" w16cid:durableId="1271157981">
    <w:abstractNumId w:val="24"/>
  </w:num>
  <w:num w:numId="13" w16cid:durableId="444664914">
    <w:abstractNumId w:val="23"/>
  </w:num>
  <w:num w:numId="14" w16cid:durableId="1372653033">
    <w:abstractNumId w:val="19"/>
  </w:num>
  <w:num w:numId="15" w16cid:durableId="1996450758">
    <w:abstractNumId w:val="26"/>
  </w:num>
  <w:num w:numId="16" w16cid:durableId="256182674">
    <w:abstractNumId w:val="20"/>
  </w:num>
  <w:num w:numId="17" w16cid:durableId="1924147472">
    <w:abstractNumId w:val="16"/>
  </w:num>
  <w:num w:numId="18" w16cid:durableId="1840344375">
    <w:abstractNumId w:val="25"/>
  </w:num>
  <w:num w:numId="19" w16cid:durableId="1972243817">
    <w:abstractNumId w:val="9"/>
  </w:num>
  <w:num w:numId="20" w16cid:durableId="232325260">
    <w:abstractNumId w:val="11"/>
  </w:num>
  <w:num w:numId="21" w16cid:durableId="127941265">
    <w:abstractNumId w:val="7"/>
  </w:num>
  <w:num w:numId="22" w16cid:durableId="642318669">
    <w:abstractNumId w:val="3"/>
  </w:num>
  <w:num w:numId="23" w16cid:durableId="195776864">
    <w:abstractNumId w:val="4"/>
  </w:num>
  <w:num w:numId="24" w16cid:durableId="40834481">
    <w:abstractNumId w:val="1"/>
  </w:num>
  <w:num w:numId="25" w16cid:durableId="679628109">
    <w:abstractNumId w:val="17"/>
  </w:num>
  <w:num w:numId="26" w16cid:durableId="1960723101">
    <w:abstractNumId w:val="14"/>
  </w:num>
  <w:num w:numId="27" w16cid:durableId="12733677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EA"/>
    <w:rsid w:val="000A1AEA"/>
    <w:rsid w:val="003C39A3"/>
    <w:rsid w:val="00410767"/>
    <w:rsid w:val="005B6AC3"/>
    <w:rsid w:val="008C74A4"/>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B5DF9"/>
  <w15:chartTrackingRefBased/>
  <w15:docId w15:val="{F166A277-C1DC-432A-8DCA-C39219C3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A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A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A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A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A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A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A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A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A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A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A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A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A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A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A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A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A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AEA"/>
    <w:rPr>
      <w:rFonts w:eastAsiaTheme="majorEastAsia" w:cstheme="majorBidi"/>
      <w:color w:val="272727" w:themeColor="text1" w:themeTint="D8"/>
    </w:rPr>
  </w:style>
  <w:style w:type="paragraph" w:styleId="Title">
    <w:name w:val="Title"/>
    <w:basedOn w:val="Normal"/>
    <w:next w:val="Normal"/>
    <w:link w:val="TitleChar"/>
    <w:uiPriority w:val="10"/>
    <w:qFormat/>
    <w:rsid w:val="000A1A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A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A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A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AEA"/>
    <w:pPr>
      <w:spacing w:before="160"/>
      <w:jc w:val="center"/>
    </w:pPr>
    <w:rPr>
      <w:i/>
      <w:iCs/>
      <w:color w:val="404040" w:themeColor="text1" w:themeTint="BF"/>
    </w:rPr>
  </w:style>
  <w:style w:type="character" w:customStyle="1" w:styleId="QuoteChar">
    <w:name w:val="Quote Char"/>
    <w:basedOn w:val="DefaultParagraphFont"/>
    <w:link w:val="Quote"/>
    <w:uiPriority w:val="29"/>
    <w:rsid w:val="000A1AEA"/>
    <w:rPr>
      <w:i/>
      <w:iCs/>
      <w:color w:val="404040" w:themeColor="text1" w:themeTint="BF"/>
    </w:rPr>
  </w:style>
  <w:style w:type="paragraph" w:styleId="ListParagraph">
    <w:name w:val="List Paragraph"/>
    <w:basedOn w:val="Normal"/>
    <w:uiPriority w:val="34"/>
    <w:qFormat/>
    <w:rsid w:val="000A1AEA"/>
    <w:pPr>
      <w:ind w:left="720"/>
      <w:contextualSpacing/>
    </w:pPr>
  </w:style>
  <w:style w:type="character" w:styleId="IntenseEmphasis">
    <w:name w:val="Intense Emphasis"/>
    <w:basedOn w:val="DefaultParagraphFont"/>
    <w:uiPriority w:val="21"/>
    <w:qFormat/>
    <w:rsid w:val="000A1AEA"/>
    <w:rPr>
      <w:i/>
      <w:iCs/>
      <w:color w:val="0F4761" w:themeColor="accent1" w:themeShade="BF"/>
    </w:rPr>
  </w:style>
  <w:style w:type="paragraph" w:styleId="IntenseQuote">
    <w:name w:val="Intense Quote"/>
    <w:basedOn w:val="Normal"/>
    <w:next w:val="Normal"/>
    <w:link w:val="IntenseQuoteChar"/>
    <w:uiPriority w:val="30"/>
    <w:qFormat/>
    <w:rsid w:val="000A1A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AEA"/>
    <w:rPr>
      <w:i/>
      <w:iCs/>
      <w:color w:val="0F4761" w:themeColor="accent1" w:themeShade="BF"/>
    </w:rPr>
  </w:style>
  <w:style w:type="character" w:styleId="IntenseReference">
    <w:name w:val="Intense Reference"/>
    <w:basedOn w:val="DefaultParagraphFont"/>
    <w:uiPriority w:val="32"/>
    <w:qFormat/>
    <w:rsid w:val="000A1AEA"/>
    <w:rPr>
      <w:b/>
      <w:bCs/>
      <w:smallCaps/>
      <w:color w:val="0F4761" w:themeColor="accent1" w:themeShade="BF"/>
      <w:spacing w:val="5"/>
    </w:rPr>
  </w:style>
  <w:style w:type="character" w:styleId="Hyperlink">
    <w:name w:val="Hyperlink"/>
    <w:basedOn w:val="DefaultParagraphFont"/>
    <w:uiPriority w:val="99"/>
    <w:unhideWhenUsed/>
    <w:rsid w:val="000A1AEA"/>
    <w:rPr>
      <w:color w:val="467886" w:themeColor="hyperlink"/>
      <w:u w:val="single"/>
    </w:rPr>
  </w:style>
  <w:style w:type="character" w:styleId="UnresolvedMention">
    <w:name w:val="Unresolved Mention"/>
    <w:basedOn w:val="DefaultParagraphFont"/>
    <w:uiPriority w:val="99"/>
    <w:semiHidden/>
    <w:unhideWhenUsed/>
    <w:rsid w:val="000A1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5378</Words>
  <Characters>30656</Characters>
  <Application>Microsoft Office Word</Application>
  <DocSecurity>0</DocSecurity>
  <Lines>255</Lines>
  <Paragraphs>71</Paragraphs>
  <ScaleCrop>false</ScaleCrop>
  <Company/>
  <LinksUpToDate>false</LinksUpToDate>
  <CharactersWithSpaces>35963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 Agrawal</dc:creator>
  <cp:keywords/>
  <dc:description/>
  <cp:lastModifiedBy>Anand Agrawal</cp:lastModifiedBy>
  <cp:revision>3</cp:revision>
  <dcterms:created xsi:type="dcterms:W3CDTF">2026-10-08T08:43:00Z</dcterms:created>
  <dcterms:modified xsi:type="dcterms:W3CDTF">2026-10-08T08:51:00Z</dcterms:modified>
</cp:coreProperties>
</file>